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80D86">
      <w:pPr>
        <w:spacing w:after="0" w:line="240" w:lineRule="auto"/>
        <w:jc w:val="center"/>
      </w:pPr>
    </w:p>
    <w:p w14:paraId="1CB98AC6" w14:textId="1E1AA687" w:rsidR="00B25757" w:rsidRPr="00167325" w:rsidRDefault="00167325" w:rsidP="00880D86">
      <w:pPr>
        <w:pStyle w:val="Ttulo1"/>
        <w:keepNext w:val="0"/>
        <w:jc w:val="center"/>
        <w:rPr>
          <w:sz w:val="26"/>
          <w:szCs w:val="26"/>
        </w:rPr>
      </w:pPr>
      <w:bookmarkStart w:id="0" w:name="_Hlk136339795"/>
      <w:r w:rsidRPr="00167325">
        <w:rPr>
          <w:sz w:val="26"/>
          <w:szCs w:val="26"/>
        </w:rPr>
        <w:t xml:space="preserve">PROJETO DE LEI </w:t>
      </w:r>
      <w:r w:rsidR="00682B81" w:rsidRPr="00167325">
        <w:rPr>
          <w:sz w:val="26"/>
          <w:szCs w:val="26"/>
        </w:rPr>
        <w:t>n</w:t>
      </w:r>
      <w:r w:rsidR="00B25757" w:rsidRPr="00167325">
        <w:rPr>
          <w:sz w:val="26"/>
          <w:szCs w:val="26"/>
        </w:rPr>
        <w:t xml:space="preserve">º </w:t>
      </w:r>
      <w:r w:rsidR="00E21DEF">
        <w:rPr>
          <w:sz w:val="26"/>
          <w:szCs w:val="26"/>
        </w:rPr>
        <w:t>5</w:t>
      </w:r>
      <w:r w:rsidR="00880D86">
        <w:rPr>
          <w:sz w:val="26"/>
          <w:szCs w:val="26"/>
        </w:rPr>
        <w:t>3</w:t>
      </w:r>
      <w:r w:rsidR="00B25757" w:rsidRPr="00167325">
        <w:rPr>
          <w:sz w:val="26"/>
          <w:szCs w:val="26"/>
        </w:rPr>
        <w:t>/</w:t>
      </w:r>
      <w:r w:rsidR="00E744B5" w:rsidRPr="00167325">
        <w:rPr>
          <w:sz w:val="26"/>
          <w:szCs w:val="26"/>
        </w:rPr>
        <w:t>2025</w:t>
      </w:r>
    </w:p>
    <w:p w14:paraId="302F99D7" w14:textId="16CBCC43" w:rsidR="002A037F" w:rsidRDefault="00536B0E" w:rsidP="00880D86">
      <w:pPr>
        <w:pStyle w:val="Recuodecorpodetexto2"/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FE19F2">
        <w:rPr>
          <w:rFonts w:ascii="Times New Roman" w:hAnsi="Times New Roman"/>
          <w:lang w:eastAsia="pt-BR"/>
        </w:rPr>
        <w:t>prefeito Rodolfo Wilson Rodrigues Braga</w:t>
      </w:r>
      <w:r>
        <w:rPr>
          <w:rFonts w:ascii="Times New Roman" w:hAnsi="Times New Roman"/>
          <w:lang w:eastAsia="pt-BR"/>
        </w:rPr>
        <w:t>)</w:t>
      </w:r>
    </w:p>
    <w:p w14:paraId="189E1D96" w14:textId="77777777" w:rsidR="006B32FE" w:rsidRDefault="006B32FE" w:rsidP="00880D86">
      <w:pPr>
        <w:pStyle w:val="Recuodecorpodetexto2"/>
        <w:spacing w:after="0" w:line="240" w:lineRule="auto"/>
        <w:rPr>
          <w:rFonts w:ascii="Times New Roman" w:hAnsi="Times New Roman"/>
          <w:lang w:eastAsia="pt-BR"/>
        </w:rPr>
      </w:pPr>
    </w:p>
    <w:p w14:paraId="652BF79F" w14:textId="77777777" w:rsidR="006B32FE" w:rsidRDefault="006B32FE" w:rsidP="00880D86">
      <w:pPr>
        <w:pStyle w:val="Recuodecorpodetexto2"/>
        <w:spacing w:after="0" w:line="240" w:lineRule="auto"/>
        <w:rPr>
          <w:rFonts w:ascii="Times New Roman" w:hAnsi="Times New Roman"/>
          <w:lang w:eastAsia="pt-BR"/>
        </w:rPr>
      </w:pPr>
    </w:p>
    <w:p w14:paraId="72534EF8" w14:textId="77777777" w:rsidR="001800F8" w:rsidRDefault="001800F8" w:rsidP="00880D86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01096E8B" w14:textId="77777777" w:rsidR="001800F8" w:rsidRDefault="001800F8" w:rsidP="00880D86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0857DD3" w14:textId="77777777" w:rsidR="00735519" w:rsidRDefault="00735519" w:rsidP="00880D86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422A1B" w14:textId="77777777" w:rsidR="000442E7" w:rsidRPr="00880D86" w:rsidRDefault="000442E7" w:rsidP="00880D86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</w:rPr>
      </w:pPr>
    </w:p>
    <w:p w14:paraId="61CDAF3C" w14:textId="77777777" w:rsidR="00880D86" w:rsidRPr="00880D86" w:rsidRDefault="00880D86" w:rsidP="00880D86">
      <w:pPr>
        <w:pStyle w:val="Recuodecorpodetexto21"/>
        <w:spacing w:line="240" w:lineRule="auto"/>
        <w:ind w:left="4536"/>
        <w:rPr>
          <w:rFonts w:ascii="Times New Roman" w:hAnsi="Times New Roman" w:cs="Times New Roman"/>
          <w:b/>
          <w:i/>
          <w:sz w:val="22"/>
          <w:szCs w:val="22"/>
        </w:rPr>
      </w:pPr>
      <w:r w:rsidRPr="00880D86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“Dispõe sobre a instituição do PPA-Plano Plurianual do Município de Várzea Paulista para os exercícios de 2026 a 2029 e dá outras providências”.</w:t>
      </w:r>
    </w:p>
    <w:p w14:paraId="2AC88769" w14:textId="77777777" w:rsidR="00880D86" w:rsidRPr="00880D86" w:rsidRDefault="00880D86" w:rsidP="00880D86">
      <w:pPr>
        <w:pStyle w:val="Ttulo2"/>
        <w:keepNext w:val="0"/>
        <w:spacing w:line="240" w:lineRule="auto"/>
        <w:jc w:val="center"/>
        <w:rPr>
          <w:sz w:val="22"/>
          <w:szCs w:val="22"/>
        </w:rPr>
      </w:pPr>
    </w:p>
    <w:p w14:paraId="69FF8F39" w14:textId="77777777" w:rsidR="00880D86" w:rsidRPr="00880D86" w:rsidRDefault="00880D86" w:rsidP="00880D86">
      <w:pPr>
        <w:spacing w:after="0" w:line="240" w:lineRule="auto"/>
        <w:ind w:right="51"/>
        <w:jc w:val="center"/>
        <w:rPr>
          <w:rFonts w:ascii="Times New Roman" w:hAnsi="Times New Roman"/>
          <w:b/>
        </w:rPr>
      </w:pPr>
    </w:p>
    <w:p w14:paraId="0C2673DF" w14:textId="77777777" w:rsidR="00880D86" w:rsidRPr="00880D86" w:rsidRDefault="00880D86" w:rsidP="00880D86">
      <w:pPr>
        <w:spacing w:after="0" w:line="240" w:lineRule="auto"/>
        <w:ind w:right="51"/>
        <w:jc w:val="center"/>
        <w:rPr>
          <w:rFonts w:ascii="Times New Roman" w:hAnsi="Times New Roman"/>
          <w:b/>
        </w:rPr>
      </w:pPr>
    </w:p>
    <w:p w14:paraId="3A37F6A6" w14:textId="77777777" w:rsidR="00880D86" w:rsidRP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CAPÍTULO I</w:t>
      </w:r>
    </w:p>
    <w:p w14:paraId="0FFE0078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DA ESTRUTURA E ORGANIZAÇÃO DO PLANO</w:t>
      </w:r>
    </w:p>
    <w:p w14:paraId="38A9EB06" w14:textId="77777777" w:rsidR="00880D86" w:rsidRP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E64BDFC" w14:textId="77777777" w:rsidR="00880D86" w:rsidRPr="00880D86" w:rsidRDefault="00880D86" w:rsidP="00880D86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color w:val="000000"/>
        </w:rPr>
      </w:pPr>
    </w:p>
    <w:p w14:paraId="19D91D7A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 xml:space="preserve">Art. 1º </w:t>
      </w:r>
      <w:r w:rsidRPr="00880D86">
        <w:rPr>
          <w:rFonts w:ascii="Times New Roman" w:hAnsi="Times New Roman"/>
          <w:color w:val="000000"/>
        </w:rPr>
        <w:t xml:space="preserve">Esta Lei institui o Plano Plurianual (PPA) do Município de Várzea Paulista para o quadriênio 2026/2029, em cumprimento ao disposto no § 1º do art. 165 da Constituição Federal, estabelecendo programas, ações, indicadores, metas, e montantes de recursos a serem aplicados em despesas de capital e outras delas decorrentes, e para as relativas aos programas de duração continuada. </w:t>
      </w:r>
    </w:p>
    <w:p w14:paraId="394C9C40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color w:val="000000"/>
        </w:rPr>
      </w:pPr>
    </w:p>
    <w:p w14:paraId="4B130F4D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2º</w:t>
      </w:r>
      <w:r w:rsidRPr="00880D86">
        <w:rPr>
          <w:rFonts w:ascii="Times New Roman" w:hAnsi="Times New Roman"/>
          <w:color w:val="000000"/>
        </w:rPr>
        <w:t xml:space="preserve"> Os programas e ações deste Plano serão observados na Lei de Diretrizes Orçamentárias, na Lei Orçamentária Anual e nas leis que as modifiquem. </w:t>
      </w:r>
    </w:p>
    <w:p w14:paraId="353EE4D3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48DD430D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i/>
          <w:iCs/>
          <w:color w:val="000000"/>
        </w:rPr>
      </w:pPr>
      <w:r w:rsidRPr="00880D86">
        <w:rPr>
          <w:rFonts w:ascii="Times New Roman" w:hAnsi="Times New Roman"/>
          <w:b/>
          <w:bCs/>
          <w:i/>
          <w:iCs/>
          <w:color w:val="000000"/>
        </w:rPr>
        <w:t>§1º</w:t>
      </w:r>
      <w:r w:rsidRPr="00880D86">
        <w:rPr>
          <w:rFonts w:ascii="Times New Roman" w:hAnsi="Times New Roman"/>
          <w:i/>
          <w:iCs/>
          <w:color w:val="000000"/>
        </w:rPr>
        <w:t xml:space="preserve"> Os programas e seus objetivos se alinham com os compromissos estabelecidos pela agenda 2030: Objetivo de Desenvolvimento Sustentável (ODS), firmada pela República Federativa do Brasil junto à Organização das Nações Unidas (ONU).</w:t>
      </w:r>
    </w:p>
    <w:p w14:paraId="6B621FBD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i/>
          <w:iCs/>
          <w:color w:val="000000"/>
        </w:rPr>
      </w:pPr>
    </w:p>
    <w:p w14:paraId="2E688395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i/>
          <w:iCs/>
          <w:color w:val="000000"/>
        </w:rPr>
        <w:t xml:space="preserve"> §</w:t>
      </w:r>
      <w:r w:rsidRPr="00880D86">
        <w:rPr>
          <w:rFonts w:ascii="Times New Roman" w:hAnsi="Times New Roman"/>
          <w:b/>
          <w:bCs/>
          <w:color w:val="000000"/>
        </w:rPr>
        <w:t>2º</w:t>
      </w:r>
      <w:r w:rsidRPr="00880D86">
        <w:rPr>
          <w:rFonts w:ascii="Times New Roman" w:hAnsi="Times New Roman"/>
          <w:color w:val="000000"/>
        </w:rPr>
        <w:t xml:space="preserve"> Para o quadriênio 2026–2029, ficam estabelecidos os seguintes eixos transformadores, que constituem diretrizes estabelecidas no Plano de Governo e orientarão as ações a serem executadas pelos Órgãos Municipais:</w:t>
      </w:r>
    </w:p>
    <w:p w14:paraId="7A8CB096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025F52F2" w14:textId="77777777" w:rsidR="00880D86" w:rsidRPr="00880D86" w:rsidRDefault="00880D86" w:rsidP="00880D86">
      <w:pPr>
        <w:numPr>
          <w:ilvl w:val="0"/>
          <w:numId w:val="28"/>
        </w:numPr>
        <w:tabs>
          <w:tab w:val="left" w:pos="1221"/>
        </w:tabs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 xml:space="preserve">Várzea Paulista Acolhedora: Prioriza o cuidado com as pessoas, para que vivam saudáveis, seguras e felizes. Apresentam-se propostas que exigem cuidado, respeito e amor ao próximo, com foco em um atendimento humanizado e na oferta de serviços públicos com excelência e qualidade. </w:t>
      </w:r>
    </w:p>
    <w:p w14:paraId="1DFDC97C" w14:textId="77777777" w:rsidR="00880D86" w:rsidRPr="00880D86" w:rsidRDefault="00880D86" w:rsidP="00880D86">
      <w:pPr>
        <w:numPr>
          <w:ilvl w:val="0"/>
          <w:numId w:val="28"/>
        </w:numPr>
        <w:tabs>
          <w:tab w:val="left" w:pos="1221"/>
        </w:tabs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 xml:space="preserve"> Várzea Paulista com Desenvolvimento Econômico e Sustentável: Concentra-se na construção de uma cidade moderna e organizada, garantindo um crescimento equilibrado e, para tanto, respeitando os recursos naturais. Destacam-se, sobretudo, as ações voltadas à integração entre mobilidade e desenvolvimento urbano, com o objetivo de promover um crescimento ordenado, sustentável e alinhado às necessidades da população.</w:t>
      </w:r>
    </w:p>
    <w:p w14:paraId="2C275D09" w14:textId="75CD6321" w:rsidR="00880D86" w:rsidRPr="00880D86" w:rsidRDefault="00880D86" w:rsidP="00880D86">
      <w:pPr>
        <w:numPr>
          <w:ilvl w:val="0"/>
          <w:numId w:val="28"/>
        </w:numPr>
        <w:tabs>
          <w:tab w:val="left" w:pos="1491"/>
        </w:tabs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 xml:space="preserve"> Várzea Paulista Governo Eficiente e Transparente: Trata-se de uma proposta de governança moderna, comprometida com a responsabilidade fiscal, o planejamento estratégico e a entrega de resultados, garantindo o </w:t>
      </w:r>
      <w:r w:rsidRPr="00880D86">
        <w:rPr>
          <w:rFonts w:ascii="Times New Roman" w:hAnsi="Times New Roman"/>
          <w:color w:val="000000"/>
        </w:rPr>
        <w:lastRenderedPageBreak/>
        <w:t>consciente dos recursos públicos e reforçando o compromisso com um governo aberto, ético e responsável.</w:t>
      </w:r>
    </w:p>
    <w:p w14:paraId="7D28FB95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i/>
          <w:iCs/>
          <w:color w:val="000000"/>
        </w:rPr>
      </w:pPr>
    </w:p>
    <w:p w14:paraId="284870C0" w14:textId="77777777" w:rsidR="00880D86" w:rsidRPr="00880D86" w:rsidRDefault="00880D86" w:rsidP="00880D86">
      <w:pPr>
        <w:spacing w:after="0" w:line="240" w:lineRule="auto"/>
        <w:ind w:firstLine="1134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 3º</w:t>
      </w:r>
      <w:r w:rsidRPr="00880D86">
        <w:rPr>
          <w:rFonts w:ascii="Times New Roman" w:hAnsi="Times New Roman"/>
          <w:color w:val="000000"/>
        </w:rPr>
        <w:t xml:space="preserve"> O plano governamental contém os programas, objetivos e metas, com definição de prioridades demonstradas de forma física (produto) e financeira, por exercício, elaborado nos termos da Lei Federal nº 4.320/64 e Lei Complementar nº 101/00, composta dos seguintes anexos:</w:t>
      </w:r>
    </w:p>
    <w:p w14:paraId="7E1A45B2" w14:textId="77777777" w:rsidR="00880D86" w:rsidRPr="00880D86" w:rsidRDefault="00880D86" w:rsidP="00880D86">
      <w:pPr>
        <w:numPr>
          <w:ilvl w:val="0"/>
          <w:numId w:val="29"/>
        </w:numPr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>Planejamento Orçamentário/Fontes de Financiamento dos Programas Governamentais;</w:t>
      </w:r>
    </w:p>
    <w:p w14:paraId="50F0B699" w14:textId="77777777" w:rsidR="00880D86" w:rsidRPr="00880D86" w:rsidRDefault="00880D86" w:rsidP="00880D86">
      <w:pPr>
        <w:numPr>
          <w:ilvl w:val="0"/>
          <w:numId w:val="29"/>
        </w:numPr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 xml:space="preserve">Descrição dos Programas Governamentais/Metas/Custos; </w:t>
      </w:r>
    </w:p>
    <w:p w14:paraId="3D99EC04" w14:textId="77777777" w:rsidR="00880D86" w:rsidRPr="00880D86" w:rsidRDefault="00880D86" w:rsidP="00880D86">
      <w:pPr>
        <w:numPr>
          <w:ilvl w:val="0"/>
          <w:numId w:val="29"/>
        </w:numPr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 xml:space="preserve">Unidades Executoras e Ações Voltadas ao Desenvolvimento do Programa Governamental; </w:t>
      </w:r>
    </w:p>
    <w:p w14:paraId="55002686" w14:textId="77777777" w:rsidR="00880D86" w:rsidRPr="00880D86" w:rsidRDefault="00880D86" w:rsidP="00880D86">
      <w:pPr>
        <w:numPr>
          <w:ilvl w:val="0"/>
          <w:numId w:val="29"/>
        </w:numPr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color w:val="000000"/>
        </w:rPr>
        <w:t>Estrutura de Órgãos, Unidades Orçamentárias e Executoras.</w:t>
      </w:r>
    </w:p>
    <w:p w14:paraId="01D2D10E" w14:textId="77777777" w:rsidR="00880D86" w:rsidRPr="00880D86" w:rsidRDefault="00880D86" w:rsidP="00880D86">
      <w:pPr>
        <w:spacing w:after="0" w:line="240" w:lineRule="auto"/>
        <w:ind w:left="1920" w:firstLine="1134"/>
        <w:jc w:val="both"/>
        <w:rPr>
          <w:rFonts w:ascii="Times New Roman" w:hAnsi="Times New Roman"/>
          <w:color w:val="000000"/>
        </w:rPr>
      </w:pPr>
    </w:p>
    <w:p w14:paraId="0FAAA88E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 4º</w:t>
      </w:r>
      <w:r w:rsidRPr="00880D86">
        <w:rPr>
          <w:rFonts w:ascii="Times New Roman" w:hAnsi="Times New Roman"/>
          <w:color w:val="000000"/>
        </w:rPr>
        <w:t xml:space="preserve"> As metas físicas e os valores estimados para execução das despesas previstas neste Plano Plurianual estão condicionados à efetiva arrecadação das receitas nele previstas.</w:t>
      </w:r>
    </w:p>
    <w:p w14:paraId="21111859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27DFC0C3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 xml:space="preserve">§1º </w:t>
      </w:r>
      <w:r w:rsidRPr="00880D86">
        <w:rPr>
          <w:rFonts w:ascii="Times New Roman" w:hAnsi="Times New Roman"/>
          <w:color w:val="000000"/>
        </w:rPr>
        <w:t>A Lei de Diretrizes Orçamentárias estabelecerá as metas e prioridades para cada ano, promovendo os ajustes eventualmente necessários ao Plano Plurianual.</w:t>
      </w:r>
    </w:p>
    <w:p w14:paraId="4DF2B5AE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§2º</w:t>
      </w:r>
      <w:r w:rsidRPr="00880D86">
        <w:rPr>
          <w:rFonts w:ascii="Times New Roman" w:hAnsi="Times New Roman"/>
          <w:color w:val="000000"/>
        </w:rPr>
        <w:t xml:space="preserve"> As Leis Orçamentárias Anuais para os períodos 2026-2029, devem ser compatíveis com os programas e metas constantes desta Lei, observado o disposto no </w:t>
      </w:r>
      <w:r w:rsidRPr="00880D86">
        <w:rPr>
          <w:rFonts w:ascii="Times New Roman" w:hAnsi="Times New Roman"/>
          <w:i/>
          <w:iCs/>
          <w:color w:val="000000"/>
        </w:rPr>
        <w:t>caput</w:t>
      </w:r>
      <w:r w:rsidRPr="00880D86">
        <w:rPr>
          <w:rFonts w:ascii="Times New Roman" w:hAnsi="Times New Roman"/>
          <w:color w:val="000000"/>
        </w:rPr>
        <w:t xml:space="preserve"> deste artigo.</w:t>
      </w:r>
    </w:p>
    <w:p w14:paraId="7330C0EE" w14:textId="77777777" w:rsidR="00880D86" w:rsidRPr="00880D86" w:rsidRDefault="00880D86" w:rsidP="00880D86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§3º</w:t>
      </w:r>
      <w:r w:rsidRPr="00880D86">
        <w:rPr>
          <w:rFonts w:ascii="Times New Roman" w:hAnsi="Times New Roman"/>
          <w:color w:val="000000"/>
        </w:rPr>
        <w:t xml:space="preserve"> Considera-se revisão do Plano Plurianual a inclusão, a exclusão ou a alteração de programas.</w:t>
      </w:r>
    </w:p>
    <w:p w14:paraId="306659CE" w14:textId="77777777" w:rsidR="00880D86" w:rsidRPr="00880D86" w:rsidRDefault="00880D86" w:rsidP="00880D86">
      <w:pPr>
        <w:pStyle w:val="NormalWeb"/>
        <w:spacing w:before="0" w:beforeAutospacing="0" w:after="0" w:afterAutospacing="0"/>
        <w:ind w:firstLine="1134"/>
        <w:jc w:val="both"/>
        <w:rPr>
          <w:sz w:val="22"/>
          <w:szCs w:val="22"/>
        </w:rPr>
      </w:pPr>
      <w:r w:rsidRPr="00880D86">
        <w:rPr>
          <w:b/>
          <w:bCs/>
          <w:sz w:val="22"/>
          <w:szCs w:val="22"/>
        </w:rPr>
        <w:t>Art. 5º</w:t>
      </w:r>
      <w:r w:rsidRPr="00880D86">
        <w:rPr>
          <w:sz w:val="22"/>
          <w:szCs w:val="22"/>
        </w:rPr>
        <w:t xml:space="preserve"> Para efeito desta Lei entende-se por: </w:t>
      </w:r>
    </w:p>
    <w:p w14:paraId="61900AAD" w14:textId="77777777" w:rsidR="00880D86" w:rsidRPr="00880D86" w:rsidRDefault="00880D86" w:rsidP="00880D86">
      <w:pPr>
        <w:pStyle w:val="PargrafodaLista"/>
        <w:numPr>
          <w:ilvl w:val="0"/>
          <w:numId w:val="30"/>
        </w:numPr>
        <w:spacing w:after="0" w:line="240" w:lineRule="auto"/>
        <w:ind w:left="1848" w:hanging="357"/>
        <w:contextualSpacing w:val="0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Programa:</w:t>
      </w:r>
      <w:r w:rsidRPr="00880D86">
        <w:rPr>
          <w:rFonts w:ascii="Times New Roman" w:hAnsi="Times New Roman"/>
          <w:color w:val="000000"/>
        </w:rPr>
        <w:t xml:space="preserve">  instrumento de organização da ação governamental que articula um conjunto de ações visando à concretização do objetivo nele estabelecido. </w:t>
      </w:r>
    </w:p>
    <w:p w14:paraId="6DF67CB1" w14:textId="77777777" w:rsidR="00880D86" w:rsidRPr="00880D86" w:rsidRDefault="00880D86" w:rsidP="00880D86">
      <w:pPr>
        <w:pStyle w:val="PargrafodaLista"/>
        <w:numPr>
          <w:ilvl w:val="0"/>
          <w:numId w:val="30"/>
        </w:numPr>
        <w:spacing w:after="0" w:line="240" w:lineRule="auto"/>
        <w:ind w:left="1848" w:hanging="357"/>
        <w:contextualSpacing w:val="0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Ação:</w:t>
      </w:r>
      <w:r w:rsidRPr="00880D86">
        <w:rPr>
          <w:rFonts w:ascii="Times New Roman" w:hAnsi="Times New Roman"/>
          <w:color w:val="000000"/>
        </w:rPr>
        <w:t xml:space="preserve">  instrumento de programação que contribui para atender ao objetivo   de   um   programa, podendo   ser   orçamentária   ou   não-orçamentária, sendo a orçamentária classificada, conforme a sua natureza em:</w:t>
      </w:r>
    </w:p>
    <w:p w14:paraId="241A7715" w14:textId="77777777" w:rsidR="00880D86" w:rsidRPr="00880D86" w:rsidRDefault="00880D86" w:rsidP="00880D86">
      <w:pPr>
        <w:pStyle w:val="PargrafodaLista"/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a) Projeto:</w:t>
      </w:r>
      <w:r w:rsidRPr="00880D86">
        <w:rPr>
          <w:rFonts w:ascii="Times New Roman" w:hAnsi="Times New Roman"/>
          <w:color w:val="000000"/>
        </w:rPr>
        <w:t xml:space="preserve"> instrumento de programação para alcançar o objetivo de um programa, envolvendo um conjunto de operações, limitadas no tempo, das quais resulta um produto que concorre para a expansão ou aperfeiçoamento da ação de governo; </w:t>
      </w:r>
    </w:p>
    <w:p w14:paraId="26571FF2" w14:textId="77777777" w:rsidR="00880D86" w:rsidRPr="00880D86" w:rsidRDefault="00880D86" w:rsidP="00880D86">
      <w:pPr>
        <w:pStyle w:val="PargrafodaLista"/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b) Atividade:</w:t>
      </w:r>
      <w:r w:rsidRPr="00880D86">
        <w:rPr>
          <w:rFonts w:ascii="Times New Roman" w:hAnsi="Times New Roman"/>
          <w:color w:val="000000"/>
        </w:rPr>
        <w:t xml:space="preserve">  instrumento de programação para alcançar o objetivo de um programa, envolvendo um conjunto de operações que se realizam de   modo   contínuo   e   permanente, das   quais   resulta   um   produto necessário à manutenção da ação de governo; </w:t>
      </w:r>
    </w:p>
    <w:p w14:paraId="77714D0B" w14:textId="77777777" w:rsidR="00880D86" w:rsidRPr="00880D86" w:rsidRDefault="00880D86" w:rsidP="00880D86">
      <w:pPr>
        <w:pStyle w:val="PargrafodaLista"/>
        <w:spacing w:after="0" w:line="240" w:lineRule="auto"/>
        <w:ind w:left="1848" w:hanging="357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c) Operação   Especial</w:t>
      </w:r>
      <w:r w:rsidRPr="00880D86">
        <w:rPr>
          <w:rFonts w:ascii="Times New Roman" w:hAnsi="Times New Roman"/>
          <w:color w:val="000000"/>
        </w:rPr>
        <w:t xml:space="preserve">:   despesas que não contribuem para a manutenção, expansão ou aperfeiçoamento das ações do Governo Federal, das quais não resulta um produto, e não gera contraprestação direta sob a forma de bens ou serviços. </w:t>
      </w:r>
    </w:p>
    <w:p w14:paraId="50A59FCC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6º</w:t>
      </w:r>
      <w:r w:rsidRPr="00880D86">
        <w:rPr>
          <w:rFonts w:ascii="Times New Roman" w:hAnsi="Times New Roman"/>
          <w:color w:val="000000"/>
        </w:rPr>
        <w:t xml:space="preserve"> Os valores financeiros, metas fiscais e períodos de execução estabelecidos para as ações orçamentárias são estimativos, não se constituindo em limites à programação das despesas expressas nas leis orçamentárias e em créditos adicionais. </w:t>
      </w:r>
    </w:p>
    <w:p w14:paraId="7CF0383C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26AA61EA" w14:textId="77777777" w:rsidR="00880D86" w:rsidRPr="00880D86" w:rsidRDefault="00880D86" w:rsidP="00880D86">
      <w:pPr>
        <w:spacing w:after="0" w:line="240" w:lineRule="auto"/>
        <w:ind w:firstLine="1701"/>
        <w:jc w:val="center"/>
        <w:rPr>
          <w:rFonts w:ascii="Times New Roman" w:hAnsi="Times New Roman"/>
          <w:color w:val="000000"/>
        </w:rPr>
      </w:pPr>
    </w:p>
    <w:p w14:paraId="717B1B42" w14:textId="77777777" w:rsidR="00880D86" w:rsidRP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CAPÍTULO II</w:t>
      </w:r>
    </w:p>
    <w:p w14:paraId="1AD1973C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DAS ALTERAÇÕES DO PLANO PLURIANUAL</w:t>
      </w:r>
    </w:p>
    <w:p w14:paraId="75A38DC5" w14:textId="77777777" w:rsidR="00880D86" w:rsidRPr="00880D86" w:rsidRDefault="00880D86" w:rsidP="00880D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E82A884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7º.</w:t>
      </w:r>
      <w:r w:rsidRPr="00880D86">
        <w:rPr>
          <w:rFonts w:ascii="Times New Roman" w:hAnsi="Times New Roman"/>
          <w:color w:val="000000"/>
        </w:rPr>
        <w:t xml:space="preserve"> A exclusão ou alteração de programas constantes desta lei, bem como a inclusão de novos programas serão propostos pelo Poder Executivo por intermédio de projetos de </w:t>
      </w:r>
      <w:r w:rsidRPr="00880D86">
        <w:rPr>
          <w:rFonts w:ascii="Times New Roman" w:hAnsi="Times New Roman"/>
          <w:color w:val="000000"/>
        </w:rPr>
        <w:lastRenderedPageBreak/>
        <w:t xml:space="preserve">lei de revisão do Plano ou projeto de lei específico, ou ainda nas leis de suplementação orçamentárias de abertura de créditos especiais e adicionais necessários no decorrer do período. </w:t>
      </w:r>
    </w:p>
    <w:p w14:paraId="1587A3CD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0FA3ACC4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Parágrafo único</w:t>
      </w:r>
      <w:r w:rsidRPr="00880D86">
        <w:rPr>
          <w:rFonts w:ascii="Times New Roman" w:hAnsi="Times New Roman"/>
          <w:color w:val="000000"/>
        </w:rPr>
        <w:t xml:space="preserve">.  As alterações nos projetos de investimentos do plano plurianual (aumento ou exclusão) e ainda a criação ou expansão de despesa de caráter continuado serão processadas através de lei específica, acompanhadas da alteração dos Anexos II (Descrição dos Programas de Planejamento Orçamentário) e Anexo III (Descrição das Ações), devidamente justificada de forma sintética a motivação da alteração ou extinção do programa ou da ação. </w:t>
      </w:r>
    </w:p>
    <w:p w14:paraId="1527A503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color w:val="000000"/>
        </w:rPr>
      </w:pPr>
    </w:p>
    <w:p w14:paraId="2CF21458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8º.</w:t>
      </w:r>
      <w:r w:rsidRPr="00880D86">
        <w:rPr>
          <w:rFonts w:ascii="Times New Roman" w:hAnsi="Times New Roman"/>
          <w:color w:val="000000"/>
        </w:rPr>
        <w:t xml:space="preserve"> As atuais despesas de caráter continuado, de manutenção das unidades administrativas e suas atividades poderão ser alteradas, suplementadas ou reduzidas, de acordo com percentual estabelecido na Lei de Diretrizes Orçamentárias, observado o disposto no inciso VI do art. 167 da Constituição Federal. </w:t>
      </w:r>
    </w:p>
    <w:p w14:paraId="5E034CE8" w14:textId="77777777" w:rsidR="00880D86" w:rsidRPr="00880D86" w:rsidRDefault="00880D86" w:rsidP="00880D86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color w:val="000000"/>
        </w:rPr>
      </w:pPr>
    </w:p>
    <w:p w14:paraId="3FAA516C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9º.</w:t>
      </w:r>
      <w:r w:rsidRPr="00880D86">
        <w:rPr>
          <w:rFonts w:ascii="Times New Roman" w:hAnsi="Times New Roman"/>
          <w:color w:val="000000"/>
        </w:rPr>
        <w:t xml:space="preserve"> Os projetos de lei de revisão geral anual, quando necessários, serão encaminhados   à   Câmara   Municipal   até   30   de setembro, em   projeto   próprio, independente ao projeto de Lei Orçamentária Anual.</w:t>
      </w:r>
    </w:p>
    <w:p w14:paraId="040280B8" w14:textId="77777777" w:rsidR="00880D86" w:rsidRPr="00880D86" w:rsidRDefault="00880D86" w:rsidP="00880D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6F10B635" w14:textId="77777777" w:rsidR="00880D86" w:rsidRPr="00880D86" w:rsidRDefault="00880D86" w:rsidP="00880D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6F2B0543" w14:textId="77777777" w:rsidR="00880D86" w:rsidRP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CAPÍTULO III</w:t>
      </w:r>
    </w:p>
    <w:p w14:paraId="6075DED6" w14:textId="77777777" w:rsidR="00880D86" w:rsidRP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DA PUBLICIDADE, AVALIAÇÃO E DISPOSIÇÕES GERAIS</w:t>
      </w:r>
    </w:p>
    <w:p w14:paraId="24F2AF8E" w14:textId="77777777" w:rsidR="00880D86" w:rsidRPr="00880D86" w:rsidRDefault="00880D86" w:rsidP="00880D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D459F13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10.</w:t>
      </w:r>
      <w:r w:rsidRPr="00880D86">
        <w:rPr>
          <w:rFonts w:ascii="Times New Roman" w:hAnsi="Times New Roman"/>
          <w:color w:val="000000"/>
        </w:rPr>
        <w:t xml:space="preserve"> O   Poder   Executivo   e   o   Poder   Legislativo   promoverão   a participação de sociedade na elaboração, acompanhamento e avaliação das ações do Plano de que trata esta Lei, inclusive por meio eletrônico (internet), nos termos do art. 48 da Lei Complementar nº 101/00.</w:t>
      </w:r>
    </w:p>
    <w:p w14:paraId="42F45021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31B2CC9E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Parágrafo único.</w:t>
      </w:r>
      <w:r w:rsidRPr="00880D86">
        <w:rPr>
          <w:rFonts w:ascii="Times New Roman" w:hAnsi="Times New Roman"/>
          <w:color w:val="000000"/>
        </w:rPr>
        <w:t xml:space="preserve">  As audiências públicas, realizadas durante a apreciação da proposta orçamentária, com a participação dos órgãos governamentais, estimularão a participação das entidades da sociedade civil. </w:t>
      </w:r>
    </w:p>
    <w:p w14:paraId="33609FF1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1CE4B286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11.</w:t>
      </w:r>
      <w:r w:rsidRPr="00880D86">
        <w:rPr>
          <w:rFonts w:ascii="Times New Roman" w:hAnsi="Times New Roman"/>
          <w:color w:val="000000"/>
        </w:rPr>
        <w:t xml:space="preserve">  Este plano plurianual será implantado a partir de 1º de janeiro de 2026, sendo a sua execução avaliada, nos termos da Lei de Responsabilidade Fiscal (Lei Complementar nº 101/00). </w:t>
      </w:r>
    </w:p>
    <w:p w14:paraId="0CA18D95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</w:p>
    <w:p w14:paraId="2CC14ADF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</w:rPr>
      </w:pPr>
      <w:r w:rsidRPr="00880D86">
        <w:rPr>
          <w:rFonts w:ascii="Times New Roman" w:hAnsi="Times New Roman"/>
          <w:b/>
          <w:bCs/>
          <w:color w:val="000000"/>
        </w:rPr>
        <w:t>Art. 12.</w:t>
      </w:r>
      <w:r w:rsidRPr="00880D86">
        <w:rPr>
          <w:rFonts w:ascii="Times New Roman" w:hAnsi="Times New Roman"/>
          <w:color w:val="000000"/>
        </w:rPr>
        <w:t xml:space="preserve"> Esta Lei entra em vigor na data de sua publicação. </w:t>
      </w:r>
    </w:p>
    <w:p w14:paraId="0E621A44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color w:val="000000"/>
        </w:rPr>
      </w:pPr>
    </w:p>
    <w:p w14:paraId="64966098" w14:textId="77777777" w:rsidR="00880D86" w:rsidRPr="00880D86" w:rsidRDefault="00880D86" w:rsidP="00880D86">
      <w:pPr>
        <w:spacing w:after="0" w:line="240" w:lineRule="auto"/>
        <w:ind w:firstLine="1134"/>
        <w:jc w:val="both"/>
        <w:rPr>
          <w:rFonts w:ascii="Times New Roman" w:hAnsi="Times New Roman"/>
        </w:rPr>
      </w:pPr>
      <w:r w:rsidRPr="00880D86">
        <w:rPr>
          <w:rFonts w:ascii="Times New Roman" w:hAnsi="Times New Roman"/>
          <w:b/>
          <w:bCs/>
          <w:color w:val="000000"/>
        </w:rPr>
        <w:t>Art. 13.</w:t>
      </w:r>
      <w:r w:rsidRPr="00880D86">
        <w:rPr>
          <w:rFonts w:ascii="Times New Roman" w:hAnsi="Times New Roman"/>
          <w:color w:val="000000"/>
        </w:rPr>
        <w:t xml:space="preserve"> Revogam-se as disposições em contrário.</w:t>
      </w:r>
    </w:p>
    <w:p w14:paraId="78048267" w14:textId="77777777" w:rsidR="00880D86" w:rsidRPr="00D545E6" w:rsidRDefault="00880D86" w:rsidP="00880D86">
      <w:pPr>
        <w:pStyle w:val="Recuodecorpodetexto2"/>
        <w:spacing w:after="0" w:line="240" w:lineRule="auto"/>
        <w:ind w:left="0" w:firstLine="1134"/>
        <w:rPr>
          <w:rFonts w:ascii="Times New Roman" w:hAnsi="Times New Roman"/>
        </w:rPr>
      </w:pPr>
    </w:p>
    <w:p w14:paraId="201C2003" w14:textId="77777777" w:rsidR="00880D86" w:rsidRPr="00D545E6" w:rsidRDefault="00880D86" w:rsidP="00880D86">
      <w:pPr>
        <w:spacing w:after="0" w:line="240" w:lineRule="auto"/>
        <w:ind w:firstLine="1134"/>
        <w:mirrorIndents/>
        <w:jc w:val="center"/>
        <w:rPr>
          <w:sz w:val="24"/>
          <w:szCs w:val="24"/>
        </w:rPr>
      </w:pPr>
    </w:p>
    <w:p w14:paraId="7204D6BF" w14:textId="77777777" w:rsidR="00880D86" w:rsidRPr="00CB1B58" w:rsidRDefault="00880D86" w:rsidP="00880D86">
      <w:pPr>
        <w:spacing w:after="0" w:line="240" w:lineRule="auto"/>
        <w:mirrorIndents/>
        <w:rPr>
          <w:sz w:val="24"/>
          <w:szCs w:val="24"/>
        </w:rPr>
      </w:pPr>
    </w:p>
    <w:p w14:paraId="297CFC18" w14:textId="77777777" w:rsidR="00880D86" w:rsidRPr="00525D6C" w:rsidRDefault="00880D86" w:rsidP="00880D86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>
        <w:rPr>
          <w:rFonts w:ascii="Times New Roman" w:hAnsi="Times New Roman"/>
        </w:rPr>
        <w:t>dez 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>
        <w:rPr>
          <w:rFonts w:ascii="Times New Roman" w:hAnsi="Times New Roman"/>
        </w:rPr>
        <w:t>10-12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--------------------------------------.</w:t>
      </w:r>
    </w:p>
    <w:p w14:paraId="3ADFF890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52E6E6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70DC2B" w14:textId="77777777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3FBB5CED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1E8BAF4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02283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BE902D" w14:textId="392F7CB6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2AAE04BC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0F879D5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66E2E8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DDD304" w14:textId="77777777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BA1F2" w14:textId="77777777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6C207536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43D9094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573B4A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A55C1" w14:textId="77777777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08BF15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749746BE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26698D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ABFCEB" w14:textId="77777777" w:rsidR="00880D86" w:rsidRPr="00BD7A69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6F12B423" w14:textId="77777777" w:rsidR="00880D86" w:rsidRDefault="00880D86" w:rsidP="00880D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3B958AB7" w14:textId="77777777" w:rsidR="00880D86" w:rsidRDefault="00880D86" w:rsidP="00880D86">
      <w:pPr>
        <w:spacing w:after="0" w:line="240" w:lineRule="auto"/>
        <w:jc w:val="center"/>
        <w:rPr>
          <w:sz w:val="24"/>
          <w:szCs w:val="24"/>
        </w:rPr>
      </w:pPr>
    </w:p>
    <w:p w14:paraId="72F76CD0" w14:textId="77777777" w:rsidR="00880D86" w:rsidRPr="00BD7A69" w:rsidRDefault="00880D86" w:rsidP="00880D86">
      <w:pPr>
        <w:spacing w:after="0" w:line="240" w:lineRule="auto"/>
        <w:jc w:val="center"/>
        <w:rPr>
          <w:sz w:val="24"/>
          <w:szCs w:val="24"/>
        </w:rPr>
      </w:pPr>
    </w:p>
    <w:p w14:paraId="19165BB4" w14:textId="77777777" w:rsidR="00880D86" w:rsidRDefault="00880D86" w:rsidP="00880D8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9C8D0DA" w14:textId="77777777" w:rsidR="00880D86" w:rsidRPr="00AA6284" w:rsidRDefault="00880D86" w:rsidP="00880D8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800E11B" w14:textId="77777777" w:rsidR="00880D86" w:rsidRDefault="00880D86" w:rsidP="00880D86">
      <w:pPr>
        <w:spacing w:after="0" w:line="240" w:lineRule="auto"/>
        <w:jc w:val="both"/>
        <w:rPr>
          <w:rFonts w:ascii="Times New Roman" w:hAnsi="Times New Roman"/>
          <w:bCs/>
        </w:rPr>
      </w:pPr>
      <w:r w:rsidRPr="00AA6284">
        <w:rPr>
          <w:rFonts w:ascii="Times New Roman" w:hAnsi="Times New Roman"/>
          <w:bCs/>
        </w:rPr>
        <w:t>Registrado e Publicado na Secretaria da Câmara Municipal de Várzea Paulista, na mesma data.</w:t>
      </w:r>
    </w:p>
    <w:p w14:paraId="54C8C590" w14:textId="77777777" w:rsidR="00880D86" w:rsidRPr="00AA6284" w:rsidRDefault="00880D86" w:rsidP="00880D8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5500FC9" w14:textId="77777777" w:rsidR="00880D86" w:rsidRDefault="00880D86" w:rsidP="00880D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7A7021" w14:textId="77777777" w:rsidR="00880D86" w:rsidRPr="007452C3" w:rsidRDefault="00880D86" w:rsidP="00880D8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032C813A" w14:textId="77777777" w:rsidR="00880D86" w:rsidRPr="00DE0DAA" w:rsidRDefault="00880D86" w:rsidP="00880D86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5D663C60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36271275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13FBEC59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42A6BDA4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11C615F9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77459951" w14:textId="77777777" w:rsidR="00880D86" w:rsidRDefault="00880D86" w:rsidP="00880D86">
      <w:pPr>
        <w:spacing w:after="0" w:line="240" w:lineRule="auto"/>
        <w:ind w:firstLine="1134"/>
        <w:mirrorIndents/>
        <w:jc w:val="center"/>
      </w:pPr>
    </w:p>
    <w:p w14:paraId="3EAF5E6A" w14:textId="77777777" w:rsidR="00880D86" w:rsidRPr="00CB1B58" w:rsidRDefault="00880D86" w:rsidP="00880D86">
      <w:pPr>
        <w:spacing w:after="0" w:line="240" w:lineRule="auto"/>
        <w:ind w:firstLine="1134"/>
        <w:jc w:val="both"/>
        <w:rPr>
          <w:sz w:val="24"/>
          <w:szCs w:val="24"/>
        </w:rPr>
      </w:pPr>
    </w:p>
    <w:p w14:paraId="68C5DA41" w14:textId="77777777" w:rsidR="00880D86" w:rsidRPr="00CB1B58" w:rsidRDefault="00880D86" w:rsidP="00880D86">
      <w:pPr>
        <w:spacing w:after="0" w:line="240" w:lineRule="auto"/>
        <w:ind w:firstLine="1134"/>
        <w:jc w:val="both"/>
        <w:rPr>
          <w:sz w:val="24"/>
          <w:szCs w:val="24"/>
        </w:rPr>
      </w:pPr>
    </w:p>
    <w:p w14:paraId="0952CFFA" w14:textId="77777777" w:rsidR="00880D86" w:rsidRPr="00CB1B58" w:rsidRDefault="00880D86" w:rsidP="00880D86">
      <w:pPr>
        <w:pStyle w:val="Standard"/>
        <w:jc w:val="both"/>
        <w:rPr>
          <w:sz w:val="24"/>
          <w:szCs w:val="24"/>
        </w:rPr>
      </w:pPr>
    </w:p>
    <w:p w14:paraId="49014D90" w14:textId="77777777" w:rsidR="00880D86" w:rsidRPr="00CB1B58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52095970" w14:textId="77777777" w:rsidR="00880D86" w:rsidRPr="00CB1B58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4BB90C82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1521A382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468A6241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45E84203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7A39443A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01FB6ECB" w14:textId="77777777" w:rsidR="00880D86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25D60FD4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202A06B2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74F9A82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13E7176A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2379FB1A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19A2D3C3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16A2A5FA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78C61BE4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6329033F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376E66D2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216B6573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301FBA7B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4C41C205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654234A7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37EACCD3" w14:textId="1B132425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30376" wp14:editId="2E9EBF06">
                <wp:simplePos x="0" y="0"/>
                <wp:positionH relativeFrom="page">
                  <wp:posOffset>1132205</wp:posOffset>
                </wp:positionH>
                <wp:positionV relativeFrom="paragraph">
                  <wp:posOffset>317500</wp:posOffset>
                </wp:positionV>
                <wp:extent cx="5848350" cy="1240155"/>
                <wp:effectExtent l="0" t="0" r="19050" b="10160"/>
                <wp:wrapSquare wrapText="bothSides"/>
                <wp:docPr id="154530597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3CC8E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0BC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ANEXO I</w:t>
                            </w:r>
                          </w:p>
                          <w:p w14:paraId="1BDB1F9B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FONTES DE FINANCIAMENTO DOS PROGRAMAS GOVERNAMENTAIS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3037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89.15pt;margin-top:25pt;width:460.5pt;height:97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">
                <v:textbox style="mso-fit-shape-to-text:t">
                  <w:txbxContent>
                    <w:p w14:paraId="1A53CC8E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A90BC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ANEXO I</w:t>
                      </w:r>
                    </w:p>
                    <w:p w14:paraId="1BDB1F9B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FONTES DE FINANCIAMENTO DOS PROGRAMAS GOVERNAMENTAIS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C0928B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7C2BAD0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548568A5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1D0C6CCB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0B65BFA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6EF32A15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1A2648A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4DF7B95B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338EACE1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38B0A5C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08191E01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46A0B0C7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1DAAA6C6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36CCC3A9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687AFA0B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50D7550E" w14:textId="77777777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</w:p>
    <w:p w14:paraId="6FE6EADA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8CC9533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B847D8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4CF654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36D1D19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C022CC9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7CF9A8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782655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075B29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E51F0E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89291E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9F4EEB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475BBC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3B1224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D7CA9A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28442E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7087C33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B91A54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D7DFB8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527D52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429AC0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DB8BD5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343982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331E8B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CB888D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548CF8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54DD31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5A7246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82BFBDA" w14:textId="6FF7EAF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E87A2B" wp14:editId="0BFC7A99">
                <wp:simplePos x="0" y="0"/>
                <wp:positionH relativeFrom="page">
                  <wp:posOffset>1008380</wp:posOffset>
                </wp:positionH>
                <wp:positionV relativeFrom="paragraph">
                  <wp:posOffset>127000</wp:posOffset>
                </wp:positionV>
                <wp:extent cx="6096000" cy="1240155"/>
                <wp:effectExtent l="0" t="0" r="19050" b="10160"/>
                <wp:wrapSquare wrapText="bothSides"/>
                <wp:docPr id="331741700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9FFA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0BC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ANEXO II</w:t>
                            </w:r>
                          </w:p>
                          <w:p w14:paraId="45A4E607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DESCRIÇÃO DOS PROGRAMAS GOVERNAMENTAIS/METAS/CUSTOS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87A2B" id="Caixa de Texto 6" o:spid="_x0000_s1027" type="#_x0000_t202" style="position:absolute;left:0;text-align:left;margin-left:79.4pt;margin-top:10pt;width:480pt;height:97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">
                <v:textbox style="mso-fit-shape-to-text:t">
                  <w:txbxContent>
                    <w:p w14:paraId="152B9FFA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A90BC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ANEXO II</w:t>
                      </w:r>
                    </w:p>
                    <w:p w14:paraId="45A4E607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DESCRIÇÃO DOS PROGRAMAS GOVERNAMENTAIS/METAS/CUSTOS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69A6C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22FC5D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DC5564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68C53E3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07B00B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9D7FAE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DC111D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2D709A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E991DC2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317852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85AFAF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55A7D2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B7FD3C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1EB486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44DD6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EEF61C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088306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3B65A3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5AF54D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25738D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72C5D6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C09303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78A522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07E0B78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E8AACA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90E1CAC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D6EB2B3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CA4A0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D87CA6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D6DEBE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CFECB69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5CE6F9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B9B8B4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93C29EC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420FC82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083BC6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8E07A1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DE54AD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075B1A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E2D9536" w14:textId="5C69DB8A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A39539" wp14:editId="7FB4F6B8">
                <wp:simplePos x="0" y="0"/>
                <wp:positionH relativeFrom="margin">
                  <wp:posOffset>-309880</wp:posOffset>
                </wp:positionH>
                <wp:positionV relativeFrom="paragraph">
                  <wp:posOffset>209550</wp:posOffset>
                </wp:positionV>
                <wp:extent cx="5848350" cy="1999615"/>
                <wp:effectExtent l="0" t="0" r="19050" b="10160"/>
                <wp:wrapSquare wrapText="bothSides"/>
                <wp:docPr id="1639477331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99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9DA28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0BC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ANEXO III</w:t>
                            </w:r>
                          </w:p>
                          <w:p w14:paraId="7182DA6A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UNIDADES EXECUTORAS E AÇÕES VOLTADAS AO DESENVOLVIMENTO DO PROGRAMA GOVERNAMENTAL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39539" id="Caixa de Texto 4" o:spid="_x0000_s1028" type="#_x0000_t202" style="position:absolute;left:0;text-align:left;margin-left:-24.4pt;margin-top:16.5pt;width:460.5pt;height:157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">
                <v:textbox style="mso-fit-shape-to-text:t">
                  <w:txbxContent>
                    <w:p w14:paraId="0689DA28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A90BC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ANEXO III</w:t>
                      </w:r>
                    </w:p>
                    <w:p w14:paraId="7182DA6A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UNIDADES EXECUTORAS E AÇÕES VOLTADAS AO DESENVOLVIMENTO DO PROGRAMA GOVERNAMENTAL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C1F2EA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C90BA9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75447C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7521A8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3D044E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7EEEFB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46EE4A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D466B6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1922F1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0268BA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1C88C3E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5B8E2B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0DD74AC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D1B23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9ADD52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CD5DF80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3EC182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367642A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07A6A8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356DED8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6AFD7B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2F359C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CC7058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2BB94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708DB9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AF9C86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B88E05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D1459A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0C03DE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A137F69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590BDDB2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744EDE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A686507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1F8A5C5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7AFC4371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AB42DD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0140AAAA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8DFDEAD" w14:textId="765E7509" w:rsidR="00880D86" w:rsidRDefault="00880D86" w:rsidP="00880D86">
      <w:pPr>
        <w:spacing w:after="0" w:line="240" w:lineRule="auto"/>
        <w:rPr>
          <w:rFonts w:ascii="Arial" w:hAnsi="Arial" w:cs="Arial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A057C4" wp14:editId="0DB1BAF8">
                <wp:simplePos x="0" y="0"/>
                <wp:positionH relativeFrom="margin">
                  <wp:posOffset>-338455</wp:posOffset>
                </wp:positionH>
                <wp:positionV relativeFrom="paragraph">
                  <wp:posOffset>162560</wp:posOffset>
                </wp:positionV>
                <wp:extent cx="5848350" cy="1619885"/>
                <wp:effectExtent l="0" t="0" r="19050" b="19685"/>
                <wp:wrapSquare wrapText="bothSides"/>
                <wp:docPr id="19655730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81A97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90BCD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ANEXO 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V</w:t>
                            </w:r>
                          </w:p>
                          <w:p w14:paraId="2F60E56E" w14:textId="77777777" w:rsidR="00880D86" w:rsidRPr="00A90BCD" w:rsidRDefault="00880D86" w:rsidP="00880D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ESTRUTURA DE ÓRGÃOS, UNIDADES ORÇAMENTÁRIAS E EXECUTORAS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057C4" id="Caixa de Texto 2" o:spid="_x0000_s1029" type="#_x0000_t202" style="position:absolute;margin-left:-26.65pt;margin-top:12.8pt;width:460.5pt;height:127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">
                <v:textbox style="mso-fit-shape-to-text:t">
                  <w:txbxContent>
                    <w:p w14:paraId="1C381A97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A90BCD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ANEXO 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V</w:t>
                      </w:r>
                    </w:p>
                    <w:p w14:paraId="2F60E56E" w14:textId="77777777" w:rsidR="00880D86" w:rsidRPr="00A90BCD" w:rsidRDefault="00880D86" w:rsidP="00880D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ESTRUTURA DE ÓRGÃOS, UNIDADES ORÇAMENTÁRIAS E EXECUTORAS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6E5F0D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84150A6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CBFC71C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4465464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3920444A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5E89B0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67914F8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4CA61B3B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1B6F910F" w14:textId="77777777" w:rsidR="00880D86" w:rsidRDefault="00880D86" w:rsidP="00880D86">
      <w:pPr>
        <w:spacing w:after="0" w:line="240" w:lineRule="auto"/>
        <w:ind w:firstLine="709"/>
        <w:rPr>
          <w:rFonts w:ascii="Arial" w:hAnsi="Arial" w:cs="Arial"/>
          <w:color w:val="000000"/>
        </w:rPr>
      </w:pPr>
    </w:p>
    <w:p w14:paraId="221CB222" w14:textId="77777777" w:rsidR="00880D86" w:rsidRDefault="00880D86" w:rsidP="00880D86">
      <w:pPr>
        <w:spacing w:after="0" w:line="240" w:lineRule="auto"/>
        <w:ind w:firstLine="1134"/>
        <w:jc w:val="both"/>
        <w:rPr>
          <w:color w:val="000000"/>
        </w:rPr>
      </w:pPr>
    </w:p>
    <w:p w14:paraId="41EA9958" w14:textId="77777777" w:rsidR="00880D86" w:rsidRPr="00CB1B58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60099A63" w14:textId="77777777" w:rsidR="00880D86" w:rsidRPr="00CB1B58" w:rsidRDefault="00880D86" w:rsidP="00880D86">
      <w:pPr>
        <w:pStyle w:val="Standard"/>
        <w:ind w:firstLine="1134"/>
        <w:jc w:val="both"/>
        <w:rPr>
          <w:sz w:val="24"/>
          <w:szCs w:val="24"/>
        </w:rPr>
      </w:pPr>
    </w:p>
    <w:p w14:paraId="6C5333EC" w14:textId="77777777" w:rsidR="00735519" w:rsidRPr="003D44F1" w:rsidRDefault="00735519" w:rsidP="00880D86">
      <w:pPr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3439048F" w14:textId="77777777" w:rsidR="00E21DEF" w:rsidRPr="00E21DEF" w:rsidRDefault="00E21DEF" w:rsidP="00880D86">
      <w:pPr>
        <w:pStyle w:val="Recuodecorpodetexto2"/>
        <w:spacing w:after="0" w:line="240" w:lineRule="auto"/>
        <w:ind w:left="0" w:firstLine="1134"/>
        <w:rPr>
          <w:rFonts w:ascii="Times New Roman" w:hAnsi="Times New Roman"/>
        </w:rPr>
      </w:pPr>
    </w:p>
    <w:p w14:paraId="137FEE78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57CCCFE8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25CEDD44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28D035D6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6E4277BA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75E8DDF4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390BAB1C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758002F0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7F187744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046DF03F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6E027C58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p w14:paraId="10391588" w14:textId="77777777" w:rsidR="00735519" w:rsidRDefault="00735519" w:rsidP="00880D86">
      <w:pPr>
        <w:spacing w:after="0" w:line="240" w:lineRule="auto"/>
        <w:ind w:firstLine="1134"/>
        <w:mirrorIndents/>
        <w:jc w:val="center"/>
      </w:pPr>
    </w:p>
    <w:bookmarkEnd w:id="0"/>
    <w:sectPr w:rsidR="007355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AC12A5"/>
    <w:multiLevelType w:val="hybridMultilevel"/>
    <w:tmpl w:val="A906C35E"/>
    <w:lvl w:ilvl="0" w:tplc="A484F204">
      <w:start w:val="19"/>
      <w:numFmt w:val="upperRoman"/>
      <w:lvlText w:val="%1 -"/>
      <w:lvlJc w:val="left"/>
      <w:pPr>
        <w:ind w:left="19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0071EF6"/>
    <w:multiLevelType w:val="hybridMultilevel"/>
    <w:tmpl w:val="7A2EB1A4"/>
    <w:lvl w:ilvl="0" w:tplc="50EAB99C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BB0921"/>
    <w:multiLevelType w:val="hybridMultilevel"/>
    <w:tmpl w:val="2598B1D0"/>
    <w:lvl w:ilvl="0" w:tplc="F4C23B88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59E7AC3"/>
    <w:multiLevelType w:val="hybridMultilevel"/>
    <w:tmpl w:val="3AAC5508"/>
    <w:lvl w:ilvl="0" w:tplc="2C4CE17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63D62D5"/>
    <w:multiLevelType w:val="hybridMultilevel"/>
    <w:tmpl w:val="BBA4FE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15A"/>
    <w:multiLevelType w:val="hybridMultilevel"/>
    <w:tmpl w:val="9962B43A"/>
    <w:lvl w:ilvl="0" w:tplc="2A1CBB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B5DBD"/>
    <w:multiLevelType w:val="hybridMultilevel"/>
    <w:tmpl w:val="02969C8A"/>
    <w:lvl w:ilvl="0" w:tplc="F7DA2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04C42D9"/>
    <w:multiLevelType w:val="hybridMultilevel"/>
    <w:tmpl w:val="45146EF0"/>
    <w:lvl w:ilvl="0" w:tplc="49F49A5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3F6006"/>
    <w:multiLevelType w:val="hybridMultilevel"/>
    <w:tmpl w:val="05886A62"/>
    <w:lvl w:ilvl="0" w:tplc="78189D4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B866238"/>
    <w:multiLevelType w:val="hybridMultilevel"/>
    <w:tmpl w:val="671289EA"/>
    <w:lvl w:ilvl="0" w:tplc="6C2C67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E0D60"/>
    <w:multiLevelType w:val="hybridMultilevel"/>
    <w:tmpl w:val="B8123278"/>
    <w:lvl w:ilvl="0" w:tplc="C1F67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62F18"/>
    <w:multiLevelType w:val="hybridMultilevel"/>
    <w:tmpl w:val="124E8EF4"/>
    <w:lvl w:ilvl="0" w:tplc="8A5C75D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CFE"/>
    <w:multiLevelType w:val="hybridMultilevel"/>
    <w:tmpl w:val="15C0AAFA"/>
    <w:lvl w:ilvl="0" w:tplc="98FC981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352F3"/>
    <w:multiLevelType w:val="hybridMultilevel"/>
    <w:tmpl w:val="F5509A3E"/>
    <w:lvl w:ilvl="0" w:tplc="B7C8ED1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CD2745"/>
    <w:multiLevelType w:val="hybridMultilevel"/>
    <w:tmpl w:val="ADF8B6F4"/>
    <w:lvl w:ilvl="0" w:tplc="C8CCC2F4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B6A6274"/>
    <w:multiLevelType w:val="hybridMultilevel"/>
    <w:tmpl w:val="014062F0"/>
    <w:lvl w:ilvl="0" w:tplc="9C7018C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0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40C15ED"/>
    <w:multiLevelType w:val="hybridMultilevel"/>
    <w:tmpl w:val="7DC69AB8"/>
    <w:lvl w:ilvl="0" w:tplc="CFF22346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5747A96"/>
    <w:multiLevelType w:val="hybridMultilevel"/>
    <w:tmpl w:val="3B28BB44"/>
    <w:lvl w:ilvl="0" w:tplc="83E44A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97C49"/>
    <w:multiLevelType w:val="multilevel"/>
    <w:tmpl w:val="12DA8AF8"/>
    <w:lvl w:ilvl="0">
      <w:start w:val="1"/>
      <w:numFmt w:val="upperRoman"/>
      <w:lvlText w:val="%1 -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577B4746"/>
    <w:multiLevelType w:val="hybridMultilevel"/>
    <w:tmpl w:val="1B38876E"/>
    <w:lvl w:ilvl="0" w:tplc="09A0A6BE">
      <w:start w:val="1"/>
      <w:numFmt w:val="upperRoman"/>
      <w:lvlText w:val="%1."/>
      <w:lvlJc w:val="left"/>
      <w:pPr>
        <w:ind w:left="1854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5C6011B4"/>
    <w:multiLevelType w:val="multilevel"/>
    <w:tmpl w:val="279E3F76"/>
    <w:lvl w:ilvl="0">
      <w:start w:val="5"/>
      <w:numFmt w:val="upperRoman"/>
      <w:lvlText w:val="%1 -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B920381"/>
    <w:multiLevelType w:val="hybridMultilevel"/>
    <w:tmpl w:val="8286DFC0"/>
    <w:lvl w:ilvl="0" w:tplc="CF16FE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94B15B2"/>
    <w:multiLevelType w:val="hybridMultilevel"/>
    <w:tmpl w:val="EE92206C"/>
    <w:lvl w:ilvl="0" w:tplc="FA14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60581670">
    <w:abstractNumId w:val="0"/>
  </w:num>
  <w:num w:numId="2" w16cid:durableId="715397771">
    <w:abstractNumId w:val="25"/>
  </w:num>
  <w:num w:numId="3" w16cid:durableId="995496208">
    <w:abstractNumId w:val="9"/>
  </w:num>
  <w:num w:numId="4" w16cid:durableId="1161309461">
    <w:abstractNumId w:val="16"/>
  </w:num>
  <w:num w:numId="5" w16cid:durableId="790513517">
    <w:abstractNumId w:val="23"/>
  </w:num>
  <w:num w:numId="6" w16cid:durableId="679547901">
    <w:abstractNumId w:val="26"/>
  </w:num>
  <w:num w:numId="7" w16cid:durableId="153567650">
    <w:abstractNumId w:val="4"/>
  </w:num>
  <w:num w:numId="8" w16cid:durableId="1876700490">
    <w:abstractNumId w:val="2"/>
  </w:num>
  <w:num w:numId="9" w16cid:durableId="1940599463">
    <w:abstractNumId w:val="6"/>
  </w:num>
  <w:num w:numId="10" w16cid:durableId="74589892">
    <w:abstractNumId w:val="28"/>
  </w:num>
  <w:num w:numId="11" w16cid:durableId="1559901508">
    <w:abstractNumId w:val="30"/>
  </w:num>
  <w:num w:numId="12" w16cid:durableId="996112501">
    <w:abstractNumId w:val="20"/>
  </w:num>
  <w:num w:numId="13" w16cid:durableId="2022275180">
    <w:abstractNumId w:val="3"/>
  </w:num>
  <w:num w:numId="14" w16cid:durableId="721320920">
    <w:abstractNumId w:val="14"/>
  </w:num>
  <w:num w:numId="15" w16cid:durableId="1492480438">
    <w:abstractNumId w:val="29"/>
  </w:num>
  <w:num w:numId="16" w16cid:durableId="818618237">
    <w:abstractNumId w:val="8"/>
  </w:num>
  <w:num w:numId="17" w16cid:durableId="801070446">
    <w:abstractNumId w:val="10"/>
  </w:num>
  <w:num w:numId="18" w16cid:durableId="245265204">
    <w:abstractNumId w:val="12"/>
  </w:num>
  <w:num w:numId="19" w16cid:durableId="1850485922">
    <w:abstractNumId w:val="13"/>
  </w:num>
  <w:num w:numId="20" w16cid:durableId="131021864">
    <w:abstractNumId w:val="15"/>
  </w:num>
  <w:num w:numId="21" w16cid:durableId="441267227">
    <w:abstractNumId w:val="11"/>
  </w:num>
  <w:num w:numId="22" w16cid:durableId="270402241">
    <w:abstractNumId w:val="18"/>
  </w:num>
  <w:num w:numId="23" w16cid:durableId="1166240085">
    <w:abstractNumId w:val="22"/>
  </w:num>
  <w:num w:numId="24" w16cid:durableId="485321245">
    <w:abstractNumId w:val="27"/>
  </w:num>
  <w:num w:numId="25" w16cid:durableId="769355885">
    <w:abstractNumId w:val="5"/>
  </w:num>
  <w:num w:numId="26" w16cid:durableId="1415785147">
    <w:abstractNumId w:val="24"/>
  </w:num>
  <w:num w:numId="27" w16cid:durableId="1949000554">
    <w:abstractNumId w:val="7"/>
  </w:num>
  <w:num w:numId="28" w16cid:durableId="1169177772">
    <w:abstractNumId w:val="19"/>
  </w:num>
  <w:num w:numId="29" w16cid:durableId="1595161642">
    <w:abstractNumId w:val="21"/>
  </w:num>
  <w:num w:numId="30" w16cid:durableId="119885271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6C1B"/>
    <w:rsid w:val="000277D3"/>
    <w:rsid w:val="000318F1"/>
    <w:rsid w:val="000328BE"/>
    <w:rsid w:val="0003501C"/>
    <w:rsid w:val="00037A2B"/>
    <w:rsid w:val="000408DC"/>
    <w:rsid w:val="000442E7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0D1C"/>
    <w:rsid w:val="00112F0D"/>
    <w:rsid w:val="00121026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325"/>
    <w:rsid w:val="00167E75"/>
    <w:rsid w:val="001743E5"/>
    <w:rsid w:val="001800F8"/>
    <w:rsid w:val="00182654"/>
    <w:rsid w:val="0019262F"/>
    <w:rsid w:val="001A10B9"/>
    <w:rsid w:val="001A5FDF"/>
    <w:rsid w:val="001A672D"/>
    <w:rsid w:val="001B045F"/>
    <w:rsid w:val="001B39BA"/>
    <w:rsid w:val="001B4ED8"/>
    <w:rsid w:val="001C0454"/>
    <w:rsid w:val="001C47E3"/>
    <w:rsid w:val="001C4F45"/>
    <w:rsid w:val="001C573F"/>
    <w:rsid w:val="001C57A9"/>
    <w:rsid w:val="001C63E0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4F37"/>
    <w:rsid w:val="00220EAF"/>
    <w:rsid w:val="00223ED5"/>
    <w:rsid w:val="00226D48"/>
    <w:rsid w:val="002307A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8FE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1FBD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21E9"/>
    <w:rsid w:val="003C50BB"/>
    <w:rsid w:val="003D04D6"/>
    <w:rsid w:val="003D1BFC"/>
    <w:rsid w:val="003D3851"/>
    <w:rsid w:val="003D44F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2B50"/>
    <w:rsid w:val="004562A4"/>
    <w:rsid w:val="004565CE"/>
    <w:rsid w:val="004607CA"/>
    <w:rsid w:val="004622C3"/>
    <w:rsid w:val="00462BAB"/>
    <w:rsid w:val="00465A08"/>
    <w:rsid w:val="00471FF4"/>
    <w:rsid w:val="00473C69"/>
    <w:rsid w:val="00480023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4F58"/>
    <w:rsid w:val="004A535D"/>
    <w:rsid w:val="004C1243"/>
    <w:rsid w:val="004C2988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5A0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25EB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2FE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5519"/>
    <w:rsid w:val="00737B9F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094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0D86"/>
    <w:rsid w:val="00884589"/>
    <w:rsid w:val="008926A0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524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D57D6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67B5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A62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35F7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1DEF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6D2D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Corpodetexto"/>
    <w:rsid w:val="00110D1C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elacomgrade">
    <w:name w:val="Table Grid"/>
    <w:basedOn w:val="Tabelanormal"/>
    <w:rsid w:val="00110D1C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110D1C"/>
  </w:style>
  <w:style w:type="character" w:styleId="Refdecomentrio">
    <w:name w:val="annotation reference"/>
    <w:unhideWhenUsed/>
    <w:rsid w:val="00110D1C"/>
    <w:rPr>
      <w:sz w:val="16"/>
      <w:szCs w:val="16"/>
    </w:rPr>
  </w:style>
  <w:style w:type="character" w:customStyle="1" w:styleId="object">
    <w:name w:val="object"/>
    <w:basedOn w:val="Fontepargpadro"/>
    <w:rsid w:val="00110D1C"/>
  </w:style>
  <w:style w:type="paragraph" w:customStyle="1" w:styleId="cap">
    <w:name w:val="cap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110D1C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Fontepargpadro"/>
    <w:rsid w:val="00110D1C"/>
  </w:style>
  <w:style w:type="table" w:styleId="TabeladeGrade4-nfase1">
    <w:name w:val="Grid Table 4 Accent 1"/>
    <w:basedOn w:val="Tabelanormal"/>
    <w:uiPriority w:val="49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embloco">
    <w:name w:val="Block Text"/>
    <w:basedOn w:val="Normal"/>
    <w:rsid w:val="00110D1C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110D1C"/>
    <w:pPr>
      <w:jc w:val="both"/>
    </w:pPr>
    <w:rPr>
      <w:rFonts w:ascii="Arial" w:eastAsia="Times New Roman" w:hAnsi="Arial"/>
      <w:sz w:val="24"/>
    </w:rPr>
  </w:style>
  <w:style w:type="paragraph" w:customStyle="1" w:styleId="xl84">
    <w:name w:val="xl84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110D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rsid w:val="00110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rsid w:val="00110D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1235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2025-12-10T14:45:00Z</dcterms:created>
  <dcterms:modified xsi:type="dcterms:W3CDTF">2025-12-10T14:45:00Z</dcterms:modified>
</cp:coreProperties>
</file>