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D95D36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9E5183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DFA4E78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4002CE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54EF" w:rsidP="00A179FB" w14:paraId="7C5CEADB" w14:textId="71EEF5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5410200" cy="2348865"/>
            <wp:effectExtent l="0" t="0" r="0" b="0"/>
            <wp:wrapTopAndBottom/>
            <wp:docPr id="11224799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455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54" b="6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4EF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Manoel Gonçalves, nº 200, no Jardim Primavera.</w:t>
      </w:r>
    </w:p>
    <w:p w:rsidR="00D954EF" w:rsidRPr="00D954EF" w:rsidP="00D954EF" w14:paraId="15D7FC81" w14:textId="1D0A14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4EF">
        <w:rPr>
          <w:rFonts w:ascii="Times New Roman" w:hAnsi="Times New Roman"/>
          <w:bCs/>
          <w:sz w:val="24"/>
          <w:szCs w:val="24"/>
        </w:rPr>
        <w:t>CONSIDERANDO que a iluminação pública desempenha papel fundamental na segurança viária e na proteção dos moradores da região;</w:t>
      </w:r>
    </w:p>
    <w:p w:rsidR="00D954EF" w:rsidRPr="00D954EF" w:rsidP="00D954EF" w14:paraId="19FEB02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4EF">
        <w:rPr>
          <w:rFonts w:ascii="Times New Roman" w:hAnsi="Times New Roman"/>
          <w:bCs/>
          <w:sz w:val="24"/>
          <w:szCs w:val="24"/>
        </w:rPr>
        <w:t>CONSIDERANDO que a substituição dos pontos de iluminação poderá proporcionar maior visibilidade e conforto aos usuários da via durante a noite;</w:t>
      </w:r>
    </w:p>
    <w:p w:rsidR="00D954EF" w:rsidP="00D954EF" w14:paraId="43A4643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954EF">
        <w:rPr>
          <w:rFonts w:ascii="Times New Roman" w:hAnsi="Times New Roman"/>
          <w:bCs/>
          <w:sz w:val="24"/>
          <w:szCs w:val="24"/>
        </w:rPr>
        <w:t>CONSIDERANDO a necessidade de manter a rede de iluminação em pleno funcionamento, contribuindo para a qualidade de vida da população.</w:t>
      </w:r>
    </w:p>
    <w:p w:rsidR="005776C2" w:rsidP="00D954EF" w14:paraId="41D37E69" w14:textId="1CFD7C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49000E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954EF" w:rsidR="00D954EF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Manoel Gonçalves, nº 200,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612399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08144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0F5C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7E1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9FB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4213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2026-06-15T18:08:00Z</dcterms:created>
  <dcterms:modified xsi:type="dcterms:W3CDTF">2026-06-15T18:28:00Z</dcterms:modified>
</cp:coreProperties>
</file>