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767F1139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Lei </w:t>
      </w:r>
      <w:r w:rsidR="006A6AC7">
        <w:rPr>
          <w:rFonts w:ascii="Times New Roman" w:hAnsi="Times New Roman"/>
          <w:bCs/>
          <w:sz w:val="24"/>
          <w:szCs w:val="24"/>
        </w:rPr>
        <w:t>Complementar</w:t>
      </w:r>
      <w:r w:rsidRPr="0089048E">
        <w:rPr>
          <w:rFonts w:ascii="Times New Roman" w:hAnsi="Times New Roman"/>
          <w:bCs/>
          <w:sz w:val="24"/>
          <w:szCs w:val="24"/>
        </w:rPr>
        <w:t xml:space="preserve"> nº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6A6AC7">
        <w:rPr>
          <w:rFonts w:ascii="Times New Roman" w:hAnsi="Times New Roman"/>
          <w:bCs/>
          <w:sz w:val="24"/>
          <w:szCs w:val="24"/>
        </w:rPr>
        <w:t>03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6A6AC7">
        <w:rPr>
          <w:rFonts w:ascii="Times New Roman" w:hAnsi="Times New Roman"/>
          <w:bCs/>
          <w:sz w:val="24"/>
          <w:szCs w:val="24"/>
        </w:rPr>
        <w:t xml:space="preserve">6 ( </w:t>
      </w:r>
      <w:r w:rsidRPr="006A6AC7" w:rsidR="006A6AC7">
        <w:rPr>
          <w:rFonts w:ascii="Times New Roman" w:hAnsi="Times New Roman"/>
          <w:bCs/>
          <w:sz w:val="24"/>
          <w:szCs w:val="24"/>
        </w:rPr>
        <w:t>Altera a Lei Complementar nº 160, de 29 de dezembro de 2005, para incluir, na hipótese de isenção do IPTU, os beneficiários do benefício assistencial da Lei Orgânica da Assistência Social (LOAS) e os beneficiários de programas de transferência de renda mantidos pelo Poder Público, e dá outras providências</w:t>
      </w:r>
      <w:r w:rsidR="006A6AC7">
        <w:rPr>
          <w:rFonts w:ascii="Times New Roman" w:hAnsi="Times New Roman"/>
          <w:bCs/>
          <w:sz w:val="24"/>
          <w:szCs w:val="24"/>
        </w:rPr>
        <w:t>)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4B912F6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Pr="0089048E" w:rsidR="0089048E">
        <w:rPr>
          <w:rFonts w:ascii="Times New Roman" w:hAnsi="Times New Roman"/>
          <w:bCs/>
          <w:sz w:val="24"/>
          <w:szCs w:val="24"/>
        </w:rPr>
        <w:t>Paulo Roberto de Almeida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13D8B7C3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914494">
        <w:rPr>
          <w:rFonts w:ascii="Times New Roman" w:hAnsi="Times New Roman"/>
          <w:bCs/>
          <w:sz w:val="24"/>
          <w:szCs w:val="24"/>
        </w:rPr>
        <w:t>1</w:t>
      </w:r>
      <w:r w:rsidR="006A6AC7">
        <w:rPr>
          <w:rFonts w:ascii="Times New Roman" w:hAnsi="Times New Roman"/>
          <w:bCs/>
          <w:sz w:val="24"/>
          <w:szCs w:val="24"/>
        </w:rPr>
        <w:t>5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de </w:t>
      </w:r>
      <w:r w:rsidR="00914494">
        <w:rPr>
          <w:rFonts w:ascii="Times New Roman" w:hAnsi="Times New Roman"/>
          <w:bCs/>
          <w:sz w:val="24"/>
          <w:szCs w:val="24"/>
        </w:rPr>
        <w:t>j</w:t>
      </w:r>
      <w:r w:rsidR="006A6AC7">
        <w:rPr>
          <w:rFonts w:ascii="Times New Roman" w:hAnsi="Times New Roman"/>
          <w:bCs/>
          <w:sz w:val="24"/>
          <w:szCs w:val="24"/>
        </w:rPr>
        <w:t xml:space="preserve">unho </w:t>
      </w:r>
      <w:r w:rsidRPr="0089048E" w:rsidR="0089048E">
        <w:rPr>
          <w:rFonts w:ascii="Times New Roman" w:hAnsi="Times New Roman"/>
          <w:bCs/>
          <w:sz w:val="24"/>
          <w:szCs w:val="24"/>
        </w:rPr>
        <w:t>202</w:t>
      </w:r>
      <w:r w:rsidR="006A6AC7">
        <w:rPr>
          <w:rFonts w:ascii="Times New Roman" w:hAnsi="Times New Roman"/>
          <w:bCs/>
          <w:sz w:val="24"/>
          <w:szCs w:val="24"/>
        </w:rPr>
        <w:t>6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686167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18282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96515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3C8B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A6AC7"/>
    <w:rsid w:val="006C3346"/>
    <w:rsid w:val="006C3BE3"/>
    <w:rsid w:val="006C445F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1CBA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4494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74D6E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2026-06-15T17:11:00Z</dcterms:created>
  <dcterms:modified xsi:type="dcterms:W3CDTF">2026-06-15T17:11:00Z</dcterms:modified>
</cp:coreProperties>
</file>