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3D83D338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543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54AD46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22/04/2026</w:t>
      </w:r>
    </w:p>
    <w:p w:rsidR="00633F22" w:rsidRPr="007E1278" w:rsidP="00BD3F6D" w14:paraId="22C32AB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3319/2026</w:t>
      </w:r>
    </w:p>
    <w:p w:rsidR="00807D99" w:rsidRPr="007E1278" w:rsidP="00BD3F6D" w14:paraId="344A8A4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2AA7401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D21E5D" w14:paraId="6D52E069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Osasco, em frente ao nº 175, no Jardim América II.</w:t>
      </w:r>
    </w:p>
    <w:p w:rsidR="00D21E5D" w:rsidP="003E4187" w14:paraId="0891CC7B" w14:textId="31F96E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999355" cy="2857500"/>
            <wp:effectExtent l="0" t="0" r="0" b="0"/>
            <wp:docPr id="16973409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760983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10" b="25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1E5D" w:rsidRPr="00D21E5D" w:rsidP="00D21E5D" w14:paraId="5D77489E" w14:textId="554BBCDC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D21E5D">
        <w:rPr>
          <w:rFonts w:ascii="Times New Roman" w:hAnsi="Times New Roman"/>
          <w:bCs/>
          <w:sz w:val="24"/>
          <w:szCs w:val="24"/>
        </w:rPr>
        <w:t>CONSIDERANDO que a iluminação pública é essencial para garantir a segurança de pedestres e moradores durante o período noturno;</w:t>
      </w:r>
    </w:p>
    <w:p w:rsidR="00D21E5D" w:rsidRPr="00D21E5D" w:rsidP="00D21E5D" w14:paraId="4429CEEF" w14:textId="55992614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D21E5D">
        <w:rPr>
          <w:rFonts w:ascii="Times New Roman" w:hAnsi="Times New Roman"/>
          <w:bCs/>
          <w:sz w:val="24"/>
          <w:szCs w:val="24"/>
        </w:rPr>
        <w:t>CONSIDERANDO que a ausência ou deficiência de iluminação no local pode facilitar a ocorrência de situações de risco e insegurança;</w:t>
      </w:r>
    </w:p>
    <w:p w:rsidR="00D21E5D" w:rsidRPr="00D21E5D" w:rsidP="00D21E5D" w14:paraId="46CB2485" w14:textId="6F56A527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D21E5D">
        <w:rPr>
          <w:rFonts w:ascii="Times New Roman" w:hAnsi="Times New Roman"/>
          <w:bCs/>
          <w:sz w:val="24"/>
          <w:szCs w:val="24"/>
        </w:rPr>
        <w:t>CONSIDERANDO que a adequada iluminação contribui para a mobilidade urbana e qualidade de vida da população local.</w:t>
      </w:r>
    </w:p>
    <w:p w:rsidR="00D21E5D" w:rsidRPr="00D21E5D" w:rsidP="00D21E5D" w14:paraId="3DC1C796" w14:textId="6A0ACBD7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D21E5D">
        <w:rPr>
          <w:rFonts w:ascii="Times New Roman" w:hAnsi="Times New Roman"/>
          <w:bCs/>
          <w:sz w:val="24"/>
          <w:szCs w:val="24"/>
        </w:rPr>
        <w:t>Assim sendo,</w:t>
      </w:r>
    </w:p>
    <w:p w:rsidR="00D21E5D" w:rsidRPr="00D21E5D" w:rsidP="00D21E5D" w14:paraId="4E128A0D" w14:textId="3B3AEEEB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D21E5D">
        <w:rPr>
          <w:rFonts w:ascii="Times New Roman" w:hAnsi="Times New Roman"/>
          <w:b/>
          <w:bCs/>
          <w:sz w:val="24"/>
          <w:szCs w:val="24"/>
        </w:rPr>
        <w:t>INDICO</w:t>
      </w:r>
      <w:r w:rsidRPr="00D21E5D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D21E5D">
        <w:rPr>
          <w:rFonts w:ascii="Times New Roman" w:hAnsi="Times New Roman"/>
          <w:b/>
          <w:bCs/>
          <w:sz w:val="24"/>
          <w:szCs w:val="24"/>
        </w:rPr>
        <w:t>Troca de iluminação pública na Rua Osasco, em frente ao nº 175, no Jardim América II.</w:t>
      </w:r>
    </w:p>
    <w:p w:rsidR="00D21E5D" w:rsidRPr="00D21E5D" w:rsidP="003E4187" w14:paraId="135A6DA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D21E5D" w14:paraId="569CEC3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D1F500D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154EDA8B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0D22B57B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798DEE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0EAB94F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677D994C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586ED7D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2F5B4E2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5CD1784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696F628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6B00BE71" w14:textId="0D84D2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21E5D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D21E5D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D21E5D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386E0ECF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713AF07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7D27FA31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7F467AC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4DE0D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2022DD23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4769496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700221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0A6368D8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62814537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841500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748A48A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78130131" w14:textId="77777777">
    <w:pPr>
      <w:rPr>
        <w:rFonts w:ascii="Old English Text MT" w:hAnsi="Old English Text MT"/>
        <w:b/>
        <w:sz w:val="28"/>
      </w:rPr>
    </w:pPr>
  </w:p>
  <w:p w:rsidR="0013240D" w14:paraId="0C21A7D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1649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1779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E5D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30B7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2026-04-23T16:24:00Z</dcterms:created>
  <dcterms:modified xsi:type="dcterms:W3CDTF">2026-04-23T16:24:00Z</dcterms:modified>
</cp:coreProperties>
</file>