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Mensagem Nº 1 ao Projeto de Lei Nº 52/2025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Mensagem ao Projeto de Lei Nº 52/2025 - Dispõe sobre as Diretrizes Orçamentárias para o ano de 2026,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