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A4779C" w:rsidP="008D591E" w14:paraId="2A7795B2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D591E" w:rsidRPr="008D591E" w:rsidP="008D591E" w14:paraId="12B84EE3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591E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8D591E" w:rsidRPr="008D591E" w:rsidP="008D591E" w14:paraId="43B7182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Chegou a esta Comissão o Projeto de Lei Ordinária nº 53/2024, de iniciativa do Chefe do Poder Executivo, que solicita autorização legislativa para firmar convênio com o Tribunal de Justiça do Estado de São Paulo, visando à locação de imóvel destinado ao funcionamento, instalação ou transferência do Fórum da Comarca de Várzea Paulista.</w:t>
      </w:r>
    </w:p>
    <w:p w:rsidR="008D591E" w:rsidRPr="008D591E" w:rsidP="008D591E" w14:paraId="622596A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Consta dos autos a justificativa do Executivo e a minuta do convênio, bem como o parecer jurídico PJ nº 188/2025, que opinou pela admissibilidade da matéria, com ressalva quanto à necessidade de cumprimento das exigências previstas no art. 16, incisos I e II, da Lei Complementar Federal nº 101/2000.</w:t>
      </w:r>
    </w:p>
    <w:p w:rsidR="008D591E" w:rsidRPr="008D591E" w:rsidP="008D591E" w14:paraId="5710AD3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É o relatório.</w:t>
      </w:r>
    </w:p>
    <w:p w:rsidR="008D591E" w:rsidRPr="008D591E" w:rsidP="008D591E" w14:paraId="35D264E2" w14:textId="3E9821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591E" w:rsidRPr="008D591E" w:rsidP="008D591E" w14:paraId="637511A2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591E">
        <w:rPr>
          <w:rFonts w:ascii="Times New Roman" w:hAnsi="Times New Roman"/>
          <w:b/>
          <w:bCs/>
          <w:sz w:val="24"/>
          <w:szCs w:val="24"/>
        </w:rPr>
        <w:t>II – PARECER</w:t>
      </w:r>
    </w:p>
    <w:p w:rsidR="008D591E" w:rsidRPr="008D591E" w:rsidP="008D591E" w14:paraId="1D32646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1. Da iniciativa</w:t>
      </w:r>
    </w:p>
    <w:p w:rsidR="008D591E" w:rsidRPr="008D591E" w:rsidP="008D591E" w14:paraId="314249C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O projeto trata de autorização legislativa para a celebração de convênio, matéria de iniciativa privativa do Chefe do Poder Executivo, conforme dispõe a Lei Orgânica do Município (art. 13, XIV). Assim, a iniciativa é adequada e não apresenta vício.</w:t>
      </w:r>
    </w:p>
    <w:p w:rsidR="008D591E" w:rsidRPr="008D591E" w:rsidP="008D591E" w14:paraId="57158EB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2. Da constitucionalidade formal e material</w:t>
      </w:r>
    </w:p>
    <w:p w:rsidR="008D591E" w:rsidRPr="008D591E" w:rsidP="008D591E" w14:paraId="7110F57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A proposta se insere no âmbito do interesse local (art. 30, I, da Constituição Federal), sendo legítima a atuação do Município na cooperação com outros entes federativos.</w:t>
      </w:r>
    </w:p>
    <w:p w:rsidR="008D591E" w:rsidRPr="008D591E" w:rsidP="008D591E" w14:paraId="32A6DC0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Materialmente, o convênio visa otimizar a prestação jurisdicional à população, atendendo ao princípio da eficiência administrativa previsto no art. 37, caput, da Constituição Federal. Não há qualquer afronta ao ordenamento jurídico.</w:t>
      </w:r>
    </w:p>
    <w:p w:rsidR="008D591E" w:rsidRPr="008D591E" w:rsidP="008D591E" w14:paraId="46530EA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3. Da legalidade e regularidade regimental</w:t>
      </w:r>
    </w:p>
    <w:p w:rsidR="008D591E" w:rsidRPr="008D591E" w:rsidP="008D591E" w14:paraId="7B669D1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O projeto atende às exigências regimentais, especialmente quanto à juntada da minuta do convênio e do plano de trabalho, conforme o art. 145, inciso IV, do Regimento Interno.</w:t>
      </w:r>
    </w:p>
    <w:p w:rsidR="008D591E" w:rsidRPr="008D591E" w:rsidP="008D591E" w14:paraId="2AA4AB6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No entanto, conforme apontado pela Procuradoria Jurídica, há necessidade de complementação documental relacionada ao cumprimento do art. 16, incisos I e II, da Lei de Responsabilidade Fiscal, uma vez que o Município assumirá despesa decorrente do convênio.</w:t>
      </w:r>
    </w:p>
    <w:p w:rsidR="008D591E" w:rsidRPr="008D591E" w:rsidP="008D591E" w14:paraId="0A5095F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Assim, a deliberação deve observar:</w:t>
      </w:r>
    </w:p>
    <w:p w:rsidR="008D591E" w:rsidRPr="008D591E" w:rsidP="008D591E" w14:paraId="5095EEC2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a apresentação de estimativa de impacto orçamentário-financeiro para o exercício em curso e os dois subsequentes;</w:t>
      </w:r>
    </w:p>
    <w:p w:rsidR="008D591E" w:rsidRPr="008D591E" w:rsidP="008D591E" w14:paraId="22F57400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a declaração de adequação orçamentária e financeira com a LOA, o PPA e a LDO.</w:t>
      </w:r>
    </w:p>
    <w:p w:rsidR="008D591E" w:rsidRPr="008D591E" w:rsidP="008D591E" w14:paraId="3D6FF09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>Cumpridas tais exigências, não subsiste óbice para a tramitação da matéria.</w:t>
      </w:r>
    </w:p>
    <w:p w:rsidR="008D591E" w:rsidRPr="008D591E" w:rsidP="008D591E" w14:paraId="0A6D29AC" w14:textId="45F2EE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591E" w:rsidRPr="008D591E" w:rsidP="008D591E" w14:paraId="18E45F0A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591E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8D591E" w:rsidRPr="008D591E" w:rsidP="008D591E" w14:paraId="0C1EB4EA" w14:textId="12D450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91E">
        <w:rPr>
          <w:rFonts w:ascii="Times New Roman" w:hAnsi="Times New Roman"/>
          <w:sz w:val="24"/>
          <w:szCs w:val="24"/>
        </w:rPr>
        <w:t xml:space="preserve">Diante do exposto, esta Comissão opina </w:t>
      </w:r>
      <w:r>
        <w:rPr>
          <w:rFonts w:ascii="Times New Roman" w:hAnsi="Times New Roman"/>
          <w:sz w:val="24"/>
          <w:szCs w:val="24"/>
        </w:rPr>
        <w:t>FAVORAVELMENTE</w:t>
      </w:r>
      <w:r w:rsidRPr="008D5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 w:rsidRPr="008D591E">
        <w:rPr>
          <w:rFonts w:ascii="Times New Roman" w:hAnsi="Times New Roman"/>
          <w:sz w:val="24"/>
          <w:szCs w:val="24"/>
        </w:rPr>
        <w:t xml:space="preserve"> Projeto de Lei Ordinária nº 53/202</w:t>
      </w:r>
      <w:r>
        <w:rPr>
          <w:rFonts w:ascii="Times New Roman" w:hAnsi="Times New Roman"/>
          <w:sz w:val="24"/>
          <w:szCs w:val="24"/>
        </w:rPr>
        <w:t>4.</w:t>
      </w:r>
    </w:p>
    <w:p w:rsidR="008E2D04" w:rsidRPr="008D591E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881985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31176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679982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1903"/>
    <w:multiLevelType w:val="multilevel"/>
    <w:tmpl w:val="6FEE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107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2A0D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D591E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2D9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2A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2A0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2025-11-24T17:35:00Z</dcterms:created>
  <dcterms:modified xsi:type="dcterms:W3CDTF">2025-11-24T17:35:00Z</dcterms:modified>
</cp:coreProperties>
</file>