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4A074F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RPr="004A074F" w:rsidP="00D24442" w14:paraId="1D9E0539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COMISSÃO DE CONSTITUIÇÃO, JUSTIÇA E REDAÇÃO</w:t>
      </w:r>
    </w:p>
    <w:p w:rsidR="00642D25" w:rsidP="00D24442" w14:paraId="523B0E0F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A074F" w:rsidRPr="004A074F" w:rsidP="00D24442" w14:paraId="3B60B97E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42D25" w:rsidP="00D24442" w14:paraId="4959F76A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A4779C" w:rsidRPr="00A4779C" w:rsidP="00D24442" w14:paraId="2A7795B2" w14:textId="7777777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D2A0D" w:rsidRPr="007D2A0D" w:rsidP="007D2A0D" w14:paraId="4BDC843E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2A0D">
        <w:rPr>
          <w:rFonts w:ascii="Times New Roman" w:hAnsi="Times New Roman"/>
          <w:b/>
          <w:bCs/>
          <w:sz w:val="24"/>
          <w:szCs w:val="24"/>
        </w:rPr>
        <w:t>I – RELATÓRIO</w:t>
      </w:r>
    </w:p>
    <w:p w:rsidR="007D2A0D" w:rsidRPr="007D2A0D" w:rsidP="007D2A0D" w14:paraId="65CA1118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2A0D">
        <w:rPr>
          <w:rFonts w:ascii="Times New Roman" w:hAnsi="Times New Roman"/>
          <w:sz w:val="24"/>
          <w:szCs w:val="24"/>
        </w:rPr>
        <w:t xml:space="preserve">Chegou a esta Comissão o Projeto de Resolução que altera o inciso III do art. 101 do Regimento Interno, com a finalidade de adequar as regras de convocação de suplentes de Vereador às normas constitucionais e à jurisprudência consolidada do Supremo Tribunal Federal, especialmente nas </w:t>
      </w:r>
      <w:r w:rsidRPr="007D2A0D">
        <w:rPr>
          <w:rFonts w:ascii="Times New Roman" w:hAnsi="Times New Roman"/>
          <w:sz w:val="24"/>
          <w:szCs w:val="24"/>
        </w:rPr>
        <w:t>ADIs</w:t>
      </w:r>
      <w:r w:rsidRPr="007D2A0D">
        <w:rPr>
          <w:rFonts w:ascii="Times New Roman" w:hAnsi="Times New Roman"/>
          <w:sz w:val="24"/>
          <w:szCs w:val="24"/>
        </w:rPr>
        <w:t xml:space="preserve"> 7.251 e 7.257.</w:t>
      </w:r>
    </w:p>
    <w:p w:rsidR="007D2A0D" w:rsidRPr="007D2A0D" w:rsidP="007D2A0D" w14:paraId="13FEA601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2A0D">
        <w:rPr>
          <w:rFonts w:ascii="Times New Roman" w:hAnsi="Times New Roman"/>
          <w:sz w:val="24"/>
          <w:szCs w:val="24"/>
        </w:rPr>
        <w:t>O texto harmoniza o Regimento Interno com a proposta de alteração da Lei Orgânica que fixa o prazo mínimo de 120 dias para a convocação de suplente em caso de licença parlamentar, promovendo coerência interna e segurança jurídica nas deliberações legislativas.</w:t>
      </w:r>
    </w:p>
    <w:p w:rsidR="007D2A0D" w:rsidRPr="007D2A0D" w:rsidP="007D2A0D" w14:paraId="2B333780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2A0D">
        <w:rPr>
          <w:rFonts w:ascii="Times New Roman" w:hAnsi="Times New Roman"/>
          <w:sz w:val="24"/>
          <w:szCs w:val="24"/>
        </w:rPr>
        <w:t>A Procuradoria Jurídica, por meio do Parecer PJ nº 181/2025, manifestou-se pela plena constitucionalidade e legalidade da matéria.</w:t>
      </w:r>
    </w:p>
    <w:p w:rsidR="007D2A0D" w:rsidRPr="007D2A0D" w:rsidP="007D2A0D" w14:paraId="66E4F9BF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2A0D">
        <w:rPr>
          <w:rFonts w:ascii="Times New Roman" w:hAnsi="Times New Roman"/>
          <w:sz w:val="24"/>
          <w:szCs w:val="24"/>
        </w:rPr>
        <w:t>É o relatório.</w:t>
      </w:r>
    </w:p>
    <w:p w:rsidR="007D2A0D" w:rsidRPr="007D2A0D" w:rsidP="007D2A0D" w14:paraId="794E02D4" w14:textId="527905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D2A0D" w:rsidRPr="007D2A0D" w:rsidP="007D2A0D" w14:paraId="40CF752E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2A0D">
        <w:rPr>
          <w:rFonts w:ascii="Times New Roman" w:hAnsi="Times New Roman"/>
          <w:b/>
          <w:bCs/>
          <w:sz w:val="24"/>
          <w:szCs w:val="24"/>
        </w:rPr>
        <w:t>II – PARECER</w:t>
      </w:r>
    </w:p>
    <w:p w:rsidR="007D2A0D" w:rsidRPr="007D2A0D" w:rsidP="007D2A0D" w14:paraId="71CF2A6B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2A0D">
        <w:rPr>
          <w:rFonts w:ascii="Times New Roman" w:hAnsi="Times New Roman"/>
          <w:sz w:val="24"/>
          <w:szCs w:val="24"/>
        </w:rPr>
        <w:t>A Comissão de Constituição, Justiça e Redação, após exame da propositura e com fundamento no parecer jurídico emitido, passa a opinar.</w:t>
      </w:r>
    </w:p>
    <w:p w:rsidR="007D2A0D" w:rsidRPr="007D2A0D" w:rsidP="007D2A0D" w14:paraId="339B3A5E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2A0D">
        <w:rPr>
          <w:rFonts w:ascii="Times New Roman" w:hAnsi="Times New Roman"/>
          <w:sz w:val="24"/>
          <w:szCs w:val="24"/>
        </w:rPr>
        <w:t>1. Adequação da espécie legislativa</w:t>
      </w:r>
    </w:p>
    <w:p w:rsidR="007D2A0D" w:rsidRPr="007D2A0D" w:rsidP="007D2A0D" w14:paraId="651AE669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2A0D">
        <w:rPr>
          <w:rFonts w:ascii="Times New Roman" w:hAnsi="Times New Roman"/>
          <w:sz w:val="24"/>
          <w:szCs w:val="24"/>
        </w:rPr>
        <w:t xml:space="preserve">O Projeto de Resolução é o instrumento adequado para alterar o Regimento Interno, conforme dispõe o art. 177, IV, da Resolução nº 17/2022. Trata-se de matéria interna </w:t>
      </w:r>
      <w:r w:rsidRPr="007D2A0D">
        <w:rPr>
          <w:rFonts w:ascii="Times New Roman" w:hAnsi="Times New Roman"/>
          <w:sz w:val="24"/>
          <w:szCs w:val="24"/>
        </w:rPr>
        <w:t>corporis</w:t>
      </w:r>
      <w:r w:rsidRPr="007D2A0D">
        <w:rPr>
          <w:rFonts w:ascii="Times New Roman" w:hAnsi="Times New Roman"/>
          <w:sz w:val="24"/>
          <w:szCs w:val="24"/>
        </w:rPr>
        <w:t>, de competência privativa da Câmara Municipal, dispensando sanção do Poder Executivo.</w:t>
      </w:r>
    </w:p>
    <w:p w:rsidR="007D2A0D" w:rsidRPr="007D2A0D" w:rsidP="007D2A0D" w14:paraId="5406482C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2A0D">
        <w:rPr>
          <w:rFonts w:ascii="Times New Roman" w:hAnsi="Times New Roman"/>
          <w:sz w:val="24"/>
          <w:szCs w:val="24"/>
        </w:rPr>
        <w:t>2. Constitucionalidade e legalidade da iniciativa</w:t>
      </w:r>
    </w:p>
    <w:p w:rsidR="007D2A0D" w:rsidRPr="007D2A0D" w:rsidP="007D2A0D" w14:paraId="100BADC2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2A0D">
        <w:rPr>
          <w:rFonts w:ascii="Times New Roman" w:hAnsi="Times New Roman"/>
          <w:sz w:val="24"/>
          <w:szCs w:val="24"/>
        </w:rPr>
        <w:t xml:space="preserve">A iniciativa parlamentar é plenamente legítima, nos termos do art. 254, I, do Regimento Interno, que autoriza a apresentação de proposta de alteração regimental por Vereadores. A matéria insere-se diretamente na prerrogativa de auto-organização do Poder </w:t>
      </w:r>
      <w:r w:rsidRPr="007D2A0D">
        <w:rPr>
          <w:rFonts w:ascii="Times New Roman" w:hAnsi="Times New Roman"/>
          <w:sz w:val="24"/>
          <w:szCs w:val="24"/>
        </w:rPr>
        <w:t>Legislativo, conforme o art. 29 da Constituição Federal e o princípio da separação dos Poderes.</w:t>
      </w:r>
    </w:p>
    <w:p w:rsidR="007D2A0D" w:rsidRPr="007D2A0D" w:rsidP="007D2A0D" w14:paraId="2B15A2ED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2A0D">
        <w:rPr>
          <w:rFonts w:ascii="Times New Roman" w:hAnsi="Times New Roman"/>
          <w:sz w:val="24"/>
          <w:szCs w:val="24"/>
        </w:rPr>
        <w:t>Não há vício de iniciativa.</w:t>
      </w:r>
    </w:p>
    <w:p w:rsidR="007D2A0D" w:rsidRPr="007D2A0D" w:rsidP="007D2A0D" w14:paraId="78182175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2A0D">
        <w:rPr>
          <w:rFonts w:ascii="Times New Roman" w:hAnsi="Times New Roman"/>
          <w:sz w:val="24"/>
          <w:szCs w:val="24"/>
        </w:rPr>
        <w:t>3. Constitucionalidade material</w:t>
      </w:r>
    </w:p>
    <w:p w:rsidR="007D2A0D" w:rsidRPr="007D2A0D" w:rsidP="007D2A0D" w14:paraId="50C86AA8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2A0D">
        <w:rPr>
          <w:rFonts w:ascii="Times New Roman" w:hAnsi="Times New Roman"/>
          <w:sz w:val="24"/>
          <w:szCs w:val="24"/>
        </w:rPr>
        <w:t>A alteração proposta encontra respaldo no princípio da simetria constitucional, que determina que os Estados e Municípios observem, no que lhes couber, as regras federais sobre organização dos Poderes.</w:t>
      </w:r>
    </w:p>
    <w:p w:rsidR="007D2A0D" w:rsidRPr="007D2A0D" w:rsidP="007D2A0D" w14:paraId="33B09143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2A0D">
        <w:rPr>
          <w:rFonts w:ascii="Times New Roman" w:hAnsi="Times New Roman"/>
          <w:sz w:val="24"/>
          <w:szCs w:val="24"/>
        </w:rPr>
        <w:t xml:space="preserve">A jurisprudência do Supremo Tribunal Federal, consolidada nas </w:t>
      </w:r>
      <w:r w:rsidRPr="007D2A0D">
        <w:rPr>
          <w:rFonts w:ascii="Times New Roman" w:hAnsi="Times New Roman"/>
          <w:sz w:val="24"/>
          <w:szCs w:val="24"/>
        </w:rPr>
        <w:t>ADIs</w:t>
      </w:r>
      <w:r w:rsidRPr="007D2A0D">
        <w:rPr>
          <w:rFonts w:ascii="Times New Roman" w:hAnsi="Times New Roman"/>
          <w:sz w:val="24"/>
          <w:szCs w:val="24"/>
        </w:rPr>
        <w:t xml:space="preserve"> 7.251 e 7.257, é clara ao estabelecer que a convocação de suplente só pode ocorrer quando o afastamento do parlamentar ultrapassar 120 dias, em respeito ao art. 56, §1º, da Constituição Federal.</w:t>
      </w:r>
    </w:p>
    <w:p w:rsidR="007D2A0D" w:rsidRPr="007D2A0D" w:rsidP="007D2A0D" w14:paraId="17C19634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2A0D">
        <w:rPr>
          <w:rFonts w:ascii="Times New Roman" w:hAnsi="Times New Roman"/>
          <w:sz w:val="24"/>
          <w:szCs w:val="24"/>
        </w:rPr>
        <w:t>Da mesma forma, o Tribunal de Justiça de São Paulo possui vasta jurisprudência declarando inconstitucionais normas municipais que adotavam prazos inferiores.</w:t>
      </w:r>
    </w:p>
    <w:p w:rsidR="007D2A0D" w:rsidRPr="007D2A0D" w:rsidP="007D2A0D" w14:paraId="78ABFAB7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2A0D">
        <w:rPr>
          <w:rFonts w:ascii="Times New Roman" w:hAnsi="Times New Roman"/>
          <w:sz w:val="24"/>
          <w:szCs w:val="24"/>
        </w:rPr>
        <w:t>A proposta, portanto, está em estrita conformidade com as decisões vinculantes e com o regime constitucional aplicável, reforçando a segurança jurídica e a coerência normativa entre a Lei Orgânica e o Regimento Interno.</w:t>
      </w:r>
    </w:p>
    <w:p w:rsidR="007D2A0D" w:rsidRPr="007D2A0D" w:rsidP="007D2A0D" w14:paraId="78BE36AA" w14:textId="07DAEC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D2A0D" w:rsidRPr="007D2A0D" w:rsidP="007D2A0D" w14:paraId="3443FF16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2A0D">
        <w:rPr>
          <w:rFonts w:ascii="Times New Roman" w:hAnsi="Times New Roman"/>
          <w:b/>
          <w:bCs/>
          <w:sz w:val="24"/>
          <w:szCs w:val="24"/>
        </w:rPr>
        <w:t>III – CONCLUSÃO</w:t>
      </w:r>
    </w:p>
    <w:p w:rsidR="007D2A0D" w:rsidRPr="007D2A0D" w:rsidP="007D2A0D" w14:paraId="2F9DB50D" w14:textId="7C308D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2A0D">
        <w:rPr>
          <w:rFonts w:ascii="Times New Roman" w:hAnsi="Times New Roman"/>
          <w:sz w:val="24"/>
          <w:szCs w:val="24"/>
        </w:rPr>
        <w:t xml:space="preserve">Diante do exposto, esta Comissão opina FAVORAVELMENTE ao Projeto de Resolução nº </w:t>
      </w:r>
      <w:r>
        <w:rPr>
          <w:rFonts w:ascii="Times New Roman" w:hAnsi="Times New Roman"/>
          <w:sz w:val="24"/>
          <w:szCs w:val="24"/>
        </w:rPr>
        <w:t>11</w:t>
      </w:r>
      <w:r w:rsidRPr="007D2A0D">
        <w:rPr>
          <w:rFonts w:ascii="Times New Roman" w:hAnsi="Times New Roman"/>
          <w:sz w:val="24"/>
          <w:szCs w:val="24"/>
        </w:rPr>
        <w:t>/2025, por ser constitucional, legal e adequado quanto à técnica legislativa, recomendando sua regular tramitação e posterior deliberação em plenário.</w:t>
      </w:r>
    </w:p>
    <w:p w:rsidR="008E2D04" w:rsidP="00D24442" w14:paraId="7AC4DB0D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2D31D342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0029A83A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5AAF6F2F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70B9093E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642D25" w:rsidRPr="00642D25" w:rsidP="00D24442" w14:paraId="4D9B3F7A" w14:textId="6AA04E5E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642D25" w:rsidRPr="00642D25" w:rsidP="00D24442" w14:paraId="57DEFBDE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:rsidR="00642D25" w:rsidRPr="00642D25" w:rsidP="00D24442" w14:paraId="2071579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642D25" w:rsidRPr="00642D25" w:rsidP="00D24442" w14:paraId="373A94A0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P="00CF44E1" w14:paraId="5D648442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:rsidR="00D24442" w:rsidP="00D24442" w14:paraId="607F07D5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7432B26A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2BC13E0C" w14:textId="28D9EB4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 Oseas Martins</w:t>
      </w:r>
    </w:p>
    <w:p w:rsidR="00642D25" w:rsidRPr="00642D25" w:rsidP="00D24442" w14:paraId="2F762010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Presidente</w:t>
      </w:r>
    </w:p>
    <w:p w:rsidR="00642D25" w:rsidRPr="00642D25" w:rsidP="00D24442" w14:paraId="61B8C726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08BCE5A2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51C22FBF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432BFD60" w14:textId="358CD5CC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Valdecir da Popular</w:t>
      </w:r>
    </w:p>
    <w:p w:rsidR="005C4A57" w:rsidRPr="00642D25" w:rsidP="00D24442" w14:paraId="5F1DFB98" w14:textId="172779D9">
      <w:pPr>
        <w:spacing w:after="0" w:line="360" w:lineRule="auto"/>
        <w:jc w:val="center"/>
        <w:rPr>
          <w:rFonts w:ascii="Times New Roman" w:hAnsi="Times New Roman"/>
        </w:rPr>
      </w:pPr>
      <w:r w:rsidRPr="00642D25">
        <w:rPr>
          <w:rFonts w:ascii="Times New Roman" w:hAnsi="Times New Roman"/>
          <w:b/>
        </w:rPr>
        <w:t>Membro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798504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464821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209436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FBD25CF"/>
    <w:multiLevelType w:val="hybridMultilevel"/>
    <w:tmpl w:val="0C78D02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15893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94A64"/>
    <w:rsid w:val="001A10B9"/>
    <w:rsid w:val="001A1BBA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6BA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65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3107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2A0D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2D04"/>
    <w:rsid w:val="008E79AD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4779C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918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0800"/>
    <w:rsid w:val="00F25521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D2A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D2A0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Zafani</cp:lastModifiedBy>
  <cp:revision>2</cp:revision>
  <cp:lastPrinted>2021-07-30T11:45:00Z</cp:lastPrinted>
  <dcterms:created xsi:type="dcterms:W3CDTF">2025-11-24T17:31:00Z</dcterms:created>
  <dcterms:modified xsi:type="dcterms:W3CDTF">2025-11-24T17:31:00Z</dcterms:modified>
</cp:coreProperties>
</file>