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A4779C" w:rsidRPr="00715C79" w:rsidP="00715C79" w14:paraId="2A7795B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5C79" w:rsidRPr="00715C79" w:rsidP="00715C79" w14:paraId="5A3E733C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5C79">
        <w:rPr>
          <w:rFonts w:ascii="Times New Roman" w:hAnsi="Times New Roman"/>
          <w:b/>
          <w:bCs/>
          <w:sz w:val="24"/>
          <w:szCs w:val="24"/>
        </w:rPr>
        <w:t>I – RELATÓRIO</w:t>
      </w:r>
    </w:p>
    <w:p w:rsidR="00715C79" w:rsidRPr="00715C79" w:rsidP="00715C79" w14:paraId="28D7A814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5C79">
        <w:rPr>
          <w:rFonts w:ascii="Times New Roman" w:hAnsi="Times New Roman"/>
          <w:sz w:val="24"/>
          <w:szCs w:val="24"/>
        </w:rPr>
        <w:t>Chegou a esta Comissão a Proposta de Emenda à Lei Orgânica que visa atualizar os artigos 18 e 23, adequando as regras de licença parlamentar e convocação de suplente ao modelo constitucional previsto no art. 56 da Constituição Federal, bem como à jurisprudência consolidada do Supremo Tribunal Federal.</w:t>
      </w:r>
    </w:p>
    <w:p w:rsidR="00715C79" w:rsidRPr="00715C79" w:rsidP="00715C79" w14:paraId="7457D497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5C79">
        <w:rPr>
          <w:rFonts w:ascii="Times New Roman" w:hAnsi="Times New Roman"/>
          <w:sz w:val="24"/>
          <w:szCs w:val="24"/>
        </w:rPr>
        <w:t>A Procuradoria Jurídica exarou Parecer nº 180/2025, opinando pela plena constitucionalidade formal e material da matéria, reconhecendo tratar-se de iniciativa parlamentar legítima, inserida no âmbito de organização e funcionamento do Poder Legislativo, e alinhada ao princípio da simetria constitucional.</w:t>
      </w:r>
    </w:p>
    <w:p w:rsidR="00715C79" w:rsidRPr="00715C79" w:rsidP="00715C79" w14:paraId="68839013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5C79">
        <w:rPr>
          <w:rFonts w:ascii="Times New Roman" w:hAnsi="Times New Roman"/>
          <w:sz w:val="24"/>
          <w:szCs w:val="24"/>
        </w:rPr>
        <w:t>É o relatório.</w:t>
      </w:r>
    </w:p>
    <w:p w:rsidR="00715C79" w:rsidRPr="00715C79" w:rsidP="00715C79" w14:paraId="1A3B2669" w14:textId="20DB53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5C79" w:rsidRPr="00715C79" w:rsidP="00715C79" w14:paraId="6A3D4722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5C79">
        <w:rPr>
          <w:rFonts w:ascii="Times New Roman" w:hAnsi="Times New Roman"/>
          <w:b/>
          <w:bCs/>
          <w:sz w:val="24"/>
          <w:szCs w:val="24"/>
        </w:rPr>
        <w:t>II – PARECER</w:t>
      </w:r>
    </w:p>
    <w:p w:rsidR="00715C79" w:rsidRPr="00715C79" w:rsidP="00715C79" w14:paraId="4BDEDE02" w14:textId="4FF262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5C79">
        <w:rPr>
          <w:rFonts w:ascii="Times New Roman" w:hAnsi="Times New Roman"/>
          <w:sz w:val="24"/>
          <w:szCs w:val="24"/>
        </w:rPr>
        <w:t>A Comissão de Constituição, Justiça e Redação, ao analisar a Proposta de Emenda à Lei Orgânica, acompanha integralmente as conclusões apresentadas pela Procuradoria Jurídica da Casa.</w:t>
      </w:r>
    </w:p>
    <w:p w:rsidR="00715C79" w:rsidRPr="00715C79" w:rsidP="00715C79" w14:paraId="3FF7D9D4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5C79">
        <w:rPr>
          <w:rFonts w:ascii="Times New Roman" w:hAnsi="Times New Roman"/>
          <w:sz w:val="24"/>
          <w:szCs w:val="24"/>
        </w:rPr>
        <w:t>A proposta observa o devido processo legislativo aplicável às alterações da Lei Orgânica, respeita a iniciativa legislativa prevista no art. 39, II, da própria LOM e no art. 243, I, do Regimento Interno, e trata de matéria de inequívoco interesse local, compatível com a competência municipal prevista no art. 30, I, da Constituição Federal.</w:t>
      </w:r>
    </w:p>
    <w:p w:rsidR="00715C79" w:rsidP="00715C79" w14:paraId="590A72BF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5C79">
        <w:rPr>
          <w:rFonts w:ascii="Times New Roman" w:hAnsi="Times New Roman"/>
          <w:sz w:val="24"/>
          <w:szCs w:val="24"/>
        </w:rPr>
        <w:t>No aspecto material, a alteração promove a necessária adequação da legislação municipal ao parâmetro constitucional federal, fixando o prazo de 120 dias para licença sem remuneração para tratar de interesse particular e regulando a convocação de suplente apenas quando o afastamento ultrapassar esse limite. Trata-se de medida já sedimentada pelo STF e pelo TJSP, em consonância com o princípio da simetria, conferindo segurança jurídica e uniformidade ao regime parlamentar local.</w:t>
      </w:r>
    </w:p>
    <w:p w:rsidR="00715C79" w:rsidRPr="00715C79" w:rsidP="00715C79" w14:paraId="35496E5F" w14:textId="79B613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5C79">
        <w:rPr>
          <w:rFonts w:ascii="Times New Roman" w:hAnsi="Times New Roman"/>
          <w:sz w:val="24"/>
          <w:szCs w:val="24"/>
        </w:rPr>
        <w:t>Não se verificam vícios de constitucionalidade, legalidade ou técnica legislativa.</w:t>
      </w:r>
    </w:p>
    <w:p w:rsidR="00715C79" w:rsidRPr="00715C79" w:rsidP="00715C79" w14:paraId="5D1BF652" w14:textId="192C58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5C79" w:rsidRPr="00715C79" w:rsidP="00715C79" w14:paraId="14C59064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5C79">
        <w:rPr>
          <w:rFonts w:ascii="Times New Roman" w:hAnsi="Times New Roman"/>
          <w:b/>
          <w:bCs/>
          <w:sz w:val="24"/>
          <w:szCs w:val="24"/>
        </w:rPr>
        <w:t>III – CONCLUSÃO</w:t>
      </w:r>
    </w:p>
    <w:p w:rsidR="00715C79" w:rsidRPr="00715C79" w:rsidP="00715C79" w14:paraId="7A4115AE" w14:textId="4598A3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5C79">
        <w:rPr>
          <w:rFonts w:ascii="Times New Roman" w:hAnsi="Times New Roman"/>
          <w:sz w:val="24"/>
          <w:szCs w:val="24"/>
        </w:rPr>
        <w:t xml:space="preserve">Diante do exposto, esta Comissão opina FAVORAVELMENTE à admissibilidade e regular tramitação da Proposta de Emenda à Lei Orgânica nº </w:t>
      </w:r>
      <w:r>
        <w:rPr>
          <w:rFonts w:ascii="Times New Roman" w:hAnsi="Times New Roman"/>
          <w:sz w:val="24"/>
          <w:szCs w:val="24"/>
        </w:rPr>
        <w:t>02</w:t>
      </w:r>
      <w:r w:rsidRPr="00715C79">
        <w:rPr>
          <w:rFonts w:ascii="Times New Roman" w:hAnsi="Times New Roman"/>
          <w:sz w:val="24"/>
          <w:szCs w:val="24"/>
        </w:rPr>
        <w:t>/2025, por ser constitucional, legal e juridicamente adequada</w:t>
      </w:r>
      <w:r>
        <w:rPr>
          <w:rFonts w:ascii="Times New Roman" w:hAnsi="Times New Roman"/>
          <w:sz w:val="24"/>
          <w:szCs w:val="24"/>
        </w:rPr>
        <w:t>.</w:t>
      </w:r>
    </w:p>
    <w:p w:rsidR="008E2D04" w:rsidP="00D24442" w14:paraId="7AC4DB0D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2D31D342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0029A83A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5AAF6F2F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28D9EB4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 Oseas Martins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358CD5C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Valdecir da Popular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8191667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64588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666999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9F15F3"/>
    <w:multiLevelType w:val="multilevel"/>
    <w:tmpl w:val="89B2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850F2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15C79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231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2</cp:revision>
  <cp:lastPrinted>2021-07-30T11:45:00Z</cp:lastPrinted>
  <dcterms:created xsi:type="dcterms:W3CDTF">2025-11-24T17:25:00Z</dcterms:created>
  <dcterms:modified xsi:type="dcterms:W3CDTF">2025-11-24T17:25:00Z</dcterms:modified>
</cp:coreProperties>
</file>