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2D25" w:rsidP="00D24442" w14:paraId="4FC655F2" w14:textId="77777777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642D25" w:rsidRPr="004A074F" w:rsidP="00D24442" w14:paraId="4408B895" w14:textId="716F240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PARECER</w:t>
      </w:r>
    </w:p>
    <w:p w:rsidR="00642D25" w:rsidRPr="004A074F" w:rsidP="00D24442" w14:paraId="1D9E0539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COMISSÃO DE CONSTITUIÇÃO, JUSTIÇA E REDAÇÃO</w:t>
      </w:r>
    </w:p>
    <w:p w:rsidR="00642D25" w:rsidP="00D24442" w14:paraId="523B0E0F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A074F" w:rsidRPr="004A074F" w:rsidP="00D24442" w14:paraId="3B60B97E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42D25" w:rsidP="00D24442" w14:paraId="4959F76A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A074F">
        <w:rPr>
          <w:rFonts w:ascii="Times New Roman" w:hAnsi="Times New Roman"/>
          <w:b/>
          <w:sz w:val="24"/>
          <w:szCs w:val="24"/>
        </w:rPr>
        <w:t>Excelentíssimo Senhor Presidente,</w:t>
      </w:r>
    </w:p>
    <w:p w:rsidR="00A4779C" w:rsidRPr="00A4779C" w:rsidP="00D24442" w14:paraId="2A7795B2" w14:textId="77777777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C6161C" w:rsidRPr="00C6161C" w:rsidP="00C6161C" w14:paraId="531806A9" w14:textId="77777777">
      <w:pPr>
        <w:spacing w:after="0" w:line="36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C6161C">
        <w:rPr>
          <w:rFonts w:ascii="Times New Roman" w:hAnsi="Times New Roman"/>
          <w:b/>
          <w:bCs/>
          <w:sz w:val="23"/>
          <w:szCs w:val="23"/>
        </w:rPr>
        <w:t>I – RELATÓRIO</w:t>
      </w:r>
    </w:p>
    <w:p w:rsidR="00C6161C" w:rsidRPr="00C6161C" w:rsidP="00C6161C" w14:paraId="5BC46C9E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C6161C">
        <w:rPr>
          <w:rFonts w:ascii="Times New Roman" w:hAnsi="Times New Roman"/>
          <w:sz w:val="23"/>
          <w:szCs w:val="23"/>
        </w:rPr>
        <w:t xml:space="preserve">Trata-se de Projeto de Lei Ordinária, de autoria dos Vereadores </w:t>
      </w:r>
      <w:r w:rsidRPr="00C6161C">
        <w:rPr>
          <w:rFonts w:ascii="Times New Roman" w:hAnsi="Times New Roman"/>
          <w:sz w:val="23"/>
          <w:szCs w:val="23"/>
        </w:rPr>
        <w:t>Wandy</w:t>
      </w:r>
      <w:r w:rsidRPr="00C6161C">
        <w:rPr>
          <w:rFonts w:ascii="Times New Roman" w:hAnsi="Times New Roman"/>
          <w:sz w:val="23"/>
          <w:szCs w:val="23"/>
        </w:rPr>
        <w:t xml:space="preserve"> da Costa Nogueira e Paulo Roberto de Almeida, que institui a “Política Municipal de Conscientização e Prevenção à Adultização Precoce e de Promoção da Segurança Digital para Crianças e Adolescentes no Município de Várzea Paulista”.</w:t>
      </w:r>
    </w:p>
    <w:p w:rsidR="00C6161C" w:rsidRPr="00C6161C" w:rsidP="00C6161C" w14:paraId="1987C078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C6161C">
        <w:rPr>
          <w:rFonts w:ascii="Times New Roman" w:hAnsi="Times New Roman"/>
          <w:sz w:val="23"/>
          <w:szCs w:val="23"/>
        </w:rPr>
        <w:t>A proposição tem como objetivo implementar ações de conscientização, orientação e proteção voltadas a crianças e adolescentes, buscando prevenir os efeitos da exposição precoce a conteúdos impróprios, promover o uso seguro das tecnologias digitais e fortalecer o papel educativo da família e da escola.</w:t>
      </w:r>
    </w:p>
    <w:p w:rsidR="00C6161C" w:rsidRPr="00C6161C" w:rsidP="00C6161C" w14:paraId="07EF719F" w14:textId="2333C489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</w:p>
    <w:p w:rsidR="00C6161C" w:rsidRPr="00C6161C" w:rsidP="00C6161C" w14:paraId="07E692D1" w14:textId="77777777">
      <w:pPr>
        <w:spacing w:after="0" w:line="36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C6161C">
        <w:rPr>
          <w:rFonts w:ascii="Times New Roman" w:hAnsi="Times New Roman"/>
          <w:b/>
          <w:bCs/>
          <w:sz w:val="23"/>
          <w:szCs w:val="23"/>
        </w:rPr>
        <w:t>II – FUNDAMENTAÇÃO</w:t>
      </w:r>
    </w:p>
    <w:p w:rsidR="00C6161C" w:rsidRPr="00C6161C" w:rsidP="00C6161C" w14:paraId="339B1C4A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C6161C">
        <w:rPr>
          <w:rFonts w:ascii="Times New Roman" w:hAnsi="Times New Roman"/>
          <w:sz w:val="23"/>
          <w:szCs w:val="23"/>
        </w:rPr>
        <w:t>1. Espécie legislativa</w:t>
      </w:r>
    </w:p>
    <w:p w:rsidR="00C6161C" w:rsidRPr="00C6161C" w:rsidP="00C6161C" w14:paraId="60991DD8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C6161C">
        <w:rPr>
          <w:rFonts w:ascii="Times New Roman" w:hAnsi="Times New Roman"/>
          <w:sz w:val="23"/>
          <w:szCs w:val="23"/>
        </w:rPr>
        <w:t>A espécie legislativa eleita – Lei Ordinária – é adequada, conforme o disposto nos artigos 40 e 41 da Lei Orgânica do Município, uma vez que trata da instituição de política pública, sem versar sobre matéria reservada à lei complementar.</w:t>
      </w:r>
    </w:p>
    <w:p w:rsidR="00C6161C" w:rsidRPr="00C6161C" w:rsidP="00C6161C" w14:paraId="6D1AD4F0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C6161C">
        <w:rPr>
          <w:rFonts w:ascii="Times New Roman" w:hAnsi="Times New Roman"/>
          <w:sz w:val="23"/>
          <w:szCs w:val="23"/>
        </w:rPr>
        <w:t>2. Iniciativa</w:t>
      </w:r>
    </w:p>
    <w:p w:rsidR="00C6161C" w:rsidRPr="00C6161C" w:rsidP="00C6161C" w14:paraId="3967E37D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C6161C">
        <w:rPr>
          <w:rFonts w:ascii="Times New Roman" w:hAnsi="Times New Roman"/>
          <w:sz w:val="23"/>
          <w:szCs w:val="23"/>
        </w:rPr>
        <w:t>A iniciativa parlamentar é legítima. O projeto não trata de organização administrativa, atribuições de órgãos públicos nem de regime jurídico de servidores, matérias de iniciativa privativa do Chefe do Poder Executivo.</w:t>
      </w:r>
    </w:p>
    <w:p w:rsidR="00C6161C" w:rsidRPr="00C6161C" w:rsidP="00C6161C" w14:paraId="618F0641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C6161C">
        <w:rPr>
          <w:rFonts w:ascii="Times New Roman" w:hAnsi="Times New Roman"/>
          <w:sz w:val="23"/>
          <w:szCs w:val="23"/>
        </w:rPr>
        <w:t>Nesse sentido, aplica-se o entendimento firmado pelo Supremo Tribunal Federal no julgamento do Tema 917 da Repercussão Geral (ARE 878.911), segundo o qual:</w:t>
      </w:r>
    </w:p>
    <w:p w:rsidR="00C6161C" w:rsidRPr="00C6161C" w:rsidP="00C6161C" w14:paraId="46EFCF45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C6161C">
        <w:rPr>
          <w:rFonts w:ascii="Times New Roman" w:hAnsi="Times New Roman"/>
          <w:sz w:val="23"/>
          <w:szCs w:val="23"/>
        </w:rPr>
        <w:t>“Não usurpa a competência privativa do Chefe do Poder Executivo lei que, embora crie despesa para a Administração, não trata da sua estrutura ou da atribuição de seus órgãos nem do regime jurídico de servidores públicos.”</w:t>
      </w:r>
    </w:p>
    <w:p w:rsidR="00C6161C" w:rsidRPr="00C6161C" w:rsidP="00C6161C" w14:paraId="78EF53DE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C6161C">
        <w:rPr>
          <w:rFonts w:ascii="Times New Roman" w:hAnsi="Times New Roman"/>
          <w:sz w:val="23"/>
          <w:szCs w:val="23"/>
        </w:rPr>
        <w:t>Dessa forma, não há vício de iniciativa.</w:t>
      </w:r>
    </w:p>
    <w:p w:rsidR="00C6161C" w:rsidRPr="00C6161C" w:rsidP="00C6161C" w14:paraId="107168A2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C6161C">
        <w:rPr>
          <w:rFonts w:ascii="Times New Roman" w:hAnsi="Times New Roman"/>
          <w:sz w:val="23"/>
          <w:szCs w:val="23"/>
        </w:rPr>
        <w:t>3. Constitucionalidade formal</w:t>
      </w:r>
    </w:p>
    <w:p w:rsidR="00C6161C" w:rsidP="00C6161C" w14:paraId="7D5A6903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</w:p>
    <w:p w:rsidR="00C6161C" w:rsidP="00C6161C" w14:paraId="6E1303A5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</w:p>
    <w:p w:rsidR="00C6161C" w:rsidRPr="00C6161C" w:rsidP="00C6161C" w14:paraId="69C7C16D" w14:textId="107B87BC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C6161C">
        <w:rPr>
          <w:rFonts w:ascii="Times New Roman" w:hAnsi="Times New Roman"/>
          <w:sz w:val="23"/>
          <w:szCs w:val="23"/>
        </w:rPr>
        <w:t>O projeto versa sobre proteção à infância e juventude, matéria de competência concorrente (artigo 24, inciso XV, da Constituição Federal), podendo o Município suplementar a legislação federal e estadual para atender ao interesse local, conforme o artigo 30, incisos I e II, da Constituição Federal.</w:t>
      </w:r>
    </w:p>
    <w:p w:rsidR="00C6161C" w:rsidRPr="00C6161C" w:rsidP="00C6161C" w14:paraId="2F5463BE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C6161C">
        <w:rPr>
          <w:rFonts w:ascii="Times New Roman" w:hAnsi="Times New Roman"/>
          <w:sz w:val="23"/>
          <w:szCs w:val="23"/>
        </w:rPr>
        <w:t>Portanto, a proposição é formalmente constitucional.</w:t>
      </w:r>
    </w:p>
    <w:p w:rsidR="00C6161C" w:rsidRPr="00C6161C" w:rsidP="00C6161C" w14:paraId="53832E23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C6161C">
        <w:rPr>
          <w:rFonts w:ascii="Times New Roman" w:hAnsi="Times New Roman"/>
          <w:sz w:val="23"/>
          <w:szCs w:val="23"/>
        </w:rPr>
        <w:t>4. Constitucionalidade material</w:t>
      </w:r>
    </w:p>
    <w:p w:rsidR="00C6161C" w:rsidRPr="00C6161C" w:rsidP="00C6161C" w14:paraId="6A8DE4CE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C6161C">
        <w:rPr>
          <w:rFonts w:ascii="Times New Roman" w:hAnsi="Times New Roman"/>
          <w:sz w:val="23"/>
          <w:szCs w:val="23"/>
        </w:rPr>
        <w:t>Sob o aspecto material, o projeto está em conformidade com o artigo 227 da Constituição Federal, que impõe ao Estado, à família e à sociedade o dever de assegurar à criança e ao adolescente, com absoluta prioridade, o direito à dignidade, ao respeito e à proteção integral.</w:t>
      </w:r>
    </w:p>
    <w:p w:rsidR="00C6161C" w:rsidRPr="00C6161C" w:rsidP="00C6161C" w14:paraId="608FA8D9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C6161C">
        <w:rPr>
          <w:rFonts w:ascii="Times New Roman" w:hAnsi="Times New Roman"/>
          <w:sz w:val="23"/>
          <w:szCs w:val="23"/>
        </w:rPr>
        <w:t>O conteúdo da proposição é compatível com o Estatuto da Criança e do Adolescente (Lei Federal nº 8.069/1990) e com o Marco Civil da Internet (Lei Federal nº 12.965/2014), ao buscar políticas locais de proteção e conscientização digital.</w:t>
      </w:r>
    </w:p>
    <w:p w:rsidR="00C6161C" w:rsidRPr="00C6161C" w:rsidP="00C6161C" w14:paraId="024D69E6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C6161C">
        <w:rPr>
          <w:rFonts w:ascii="Times New Roman" w:hAnsi="Times New Roman"/>
          <w:sz w:val="23"/>
          <w:szCs w:val="23"/>
        </w:rPr>
        <w:t>Embora o parecer jurídico desta Casa tenha recomendado maior objetividade na definição do termo “adultização precoce”, entende-se que tal aperfeiçoamento poderá ocorrer por meio de regulamentação posterior ou emenda futura, não comprometendo a constitucionalidade da matéria.</w:t>
      </w:r>
    </w:p>
    <w:p w:rsidR="00C6161C" w:rsidRPr="00C6161C" w:rsidP="00C6161C" w14:paraId="6EE44098" w14:textId="6A7FD4AA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</w:p>
    <w:p w:rsidR="00C6161C" w:rsidRPr="00C6161C" w:rsidP="00C6161C" w14:paraId="458EEF39" w14:textId="77777777">
      <w:pPr>
        <w:spacing w:after="0" w:line="36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C6161C">
        <w:rPr>
          <w:rFonts w:ascii="Times New Roman" w:hAnsi="Times New Roman"/>
          <w:b/>
          <w:bCs/>
          <w:sz w:val="23"/>
          <w:szCs w:val="23"/>
        </w:rPr>
        <w:t>III – CONCLUSÃO</w:t>
      </w:r>
    </w:p>
    <w:p w:rsidR="00C6161C" w:rsidRPr="00C6161C" w:rsidP="00C6161C" w14:paraId="177C2CC2" w14:textId="3775B79A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C6161C">
        <w:rPr>
          <w:rFonts w:ascii="Times New Roman" w:hAnsi="Times New Roman"/>
          <w:sz w:val="23"/>
          <w:szCs w:val="23"/>
        </w:rPr>
        <w:t xml:space="preserve">Diante do exposto, esta Comissão de Constituição, Justiça e Redação entende que o Projeto de Lei Ordinária nº </w:t>
      </w:r>
      <w:r>
        <w:rPr>
          <w:rFonts w:ascii="Times New Roman" w:hAnsi="Times New Roman"/>
          <w:sz w:val="23"/>
          <w:szCs w:val="23"/>
        </w:rPr>
        <w:t>63</w:t>
      </w:r>
      <w:r w:rsidRPr="00C6161C">
        <w:rPr>
          <w:rFonts w:ascii="Times New Roman" w:hAnsi="Times New Roman"/>
          <w:sz w:val="23"/>
          <w:szCs w:val="23"/>
        </w:rPr>
        <w:t>/2025 é formal e materialmente constitucional, não apresenta vício de iniciativa e atende aos requisitos legais e regimentais para sua tramitação.</w:t>
      </w:r>
    </w:p>
    <w:p w:rsidR="00C6161C" w:rsidRPr="00C6161C" w:rsidP="00C6161C" w14:paraId="11CDDA28" w14:textId="219A9376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C6161C">
        <w:rPr>
          <w:rFonts w:ascii="Times New Roman" w:hAnsi="Times New Roman"/>
          <w:sz w:val="23"/>
          <w:szCs w:val="23"/>
        </w:rPr>
        <w:t>Assim, esta Comissão emite parecer FAVORÁVEL à tramitação do projeto</w:t>
      </w:r>
      <w:r w:rsidR="001565D8">
        <w:rPr>
          <w:rFonts w:ascii="Times New Roman" w:hAnsi="Times New Roman"/>
          <w:sz w:val="23"/>
          <w:szCs w:val="23"/>
        </w:rPr>
        <w:t>.</w:t>
      </w:r>
    </w:p>
    <w:p w:rsidR="008E2D04" w:rsidP="00D24442" w14:paraId="7AC4DB0D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8E2D04" w:rsidP="00D24442" w14:paraId="2D31D342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8E2D04" w:rsidP="00D24442" w14:paraId="0029A83A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8E2D04" w:rsidP="00D24442" w14:paraId="5AAF6F2F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8E2D04" w:rsidP="00D24442" w14:paraId="70B9093E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642D25" w:rsidRPr="00642D25" w:rsidP="00D24442" w14:paraId="4D9B3F7A" w14:textId="6AA04E5E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Guilherme Cesar Zafani</w:t>
      </w:r>
    </w:p>
    <w:p w:rsidR="00642D25" w:rsidRPr="00642D25" w:rsidP="00D24442" w14:paraId="57DEFBDE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Relator</w:t>
      </w:r>
    </w:p>
    <w:p w:rsidR="00642D25" w:rsidRPr="00642D25" w:rsidP="00D24442" w14:paraId="2071579B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642D25" w:rsidRPr="00642D25" w:rsidP="00D24442" w14:paraId="373A94A0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P="00CF44E1" w14:paraId="5D648442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De acordo:</w:t>
      </w:r>
    </w:p>
    <w:p w:rsidR="00D24442" w:rsidP="00D24442" w14:paraId="607F07D5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7432B26A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2BC13E0C" w14:textId="28D9EB47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 Oseas Martins</w:t>
      </w:r>
    </w:p>
    <w:p w:rsidR="00642D25" w:rsidRPr="00642D25" w:rsidP="00D24442" w14:paraId="2F762010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Presidente</w:t>
      </w:r>
    </w:p>
    <w:p w:rsidR="00642D25" w:rsidRPr="00642D25" w:rsidP="00D24442" w14:paraId="61B8C726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08BCE5A2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51C22FBF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432BFD60" w14:textId="358CD5CC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Valdecir da Popular</w:t>
      </w:r>
    </w:p>
    <w:p w:rsidR="005C4A57" w:rsidRPr="00642D25" w:rsidP="00D24442" w14:paraId="5F1DFB98" w14:textId="172779D9">
      <w:pPr>
        <w:spacing w:after="0" w:line="360" w:lineRule="auto"/>
        <w:jc w:val="center"/>
        <w:rPr>
          <w:rFonts w:ascii="Times New Roman" w:hAnsi="Times New Roman"/>
        </w:rPr>
      </w:pPr>
      <w:r w:rsidRPr="00642D25">
        <w:rPr>
          <w:rFonts w:ascii="Times New Roman" w:hAnsi="Times New Roman"/>
          <w:b/>
        </w:rPr>
        <w:t>Membro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3702005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923169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607533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5FBD25CF"/>
    <w:multiLevelType w:val="hybridMultilevel"/>
    <w:tmpl w:val="0C78D02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330"/>
    <w:rsid w:val="00003B07"/>
    <w:rsid w:val="00004544"/>
    <w:rsid w:val="000061D7"/>
    <w:rsid w:val="00011B22"/>
    <w:rsid w:val="00013E2A"/>
    <w:rsid w:val="0001518C"/>
    <w:rsid w:val="00016332"/>
    <w:rsid w:val="00023E83"/>
    <w:rsid w:val="00024AFB"/>
    <w:rsid w:val="000277C4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62CA9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C65BA"/>
    <w:rsid w:val="000D4AB4"/>
    <w:rsid w:val="000D72E1"/>
    <w:rsid w:val="000E5D34"/>
    <w:rsid w:val="000F0329"/>
    <w:rsid w:val="000F344C"/>
    <w:rsid w:val="000F69CF"/>
    <w:rsid w:val="000F78F3"/>
    <w:rsid w:val="0010062A"/>
    <w:rsid w:val="00101BE2"/>
    <w:rsid w:val="00101D78"/>
    <w:rsid w:val="00104FCF"/>
    <w:rsid w:val="00105CBF"/>
    <w:rsid w:val="00112F0D"/>
    <w:rsid w:val="00115893"/>
    <w:rsid w:val="001333DF"/>
    <w:rsid w:val="001339B7"/>
    <w:rsid w:val="001354BD"/>
    <w:rsid w:val="00136770"/>
    <w:rsid w:val="00143B7C"/>
    <w:rsid w:val="00143E90"/>
    <w:rsid w:val="00155449"/>
    <w:rsid w:val="001565D8"/>
    <w:rsid w:val="00160C41"/>
    <w:rsid w:val="00166EFB"/>
    <w:rsid w:val="00167E75"/>
    <w:rsid w:val="00182654"/>
    <w:rsid w:val="0019262F"/>
    <w:rsid w:val="00194A64"/>
    <w:rsid w:val="001A10B9"/>
    <w:rsid w:val="001A1BBA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6BA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1645"/>
    <w:rsid w:val="004138E2"/>
    <w:rsid w:val="00416ACF"/>
    <w:rsid w:val="004177EB"/>
    <w:rsid w:val="004178CD"/>
    <w:rsid w:val="00425E79"/>
    <w:rsid w:val="004307C3"/>
    <w:rsid w:val="00430F23"/>
    <w:rsid w:val="00441712"/>
    <w:rsid w:val="00445E8A"/>
    <w:rsid w:val="00450572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074F"/>
    <w:rsid w:val="004A3792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65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34D3"/>
    <w:rsid w:val="005D6DBC"/>
    <w:rsid w:val="005D7052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2D25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103B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35B87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2D04"/>
    <w:rsid w:val="008E79AD"/>
    <w:rsid w:val="008F3A53"/>
    <w:rsid w:val="00905974"/>
    <w:rsid w:val="009072AF"/>
    <w:rsid w:val="00911FCA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3952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4779C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47F94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4255"/>
    <w:rsid w:val="00BC539E"/>
    <w:rsid w:val="00BC6543"/>
    <w:rsid w:val="00BC70B5"/>
    <w:rsid w:val="00BD73D9"/>
    <w:rsid w:val="00BE62F9"/>
    <w:rsid w:val="00BF0A4B"/>
    <w:rsid w:val="00BF1D63"/>
    <w:rsid w:val="00BF3B6B"/>
    <w:rsid w:val="00BF7FFE"/>
    <w:rsid w:val="00C01C81"/>
    <w:rsid w:val="00C1106A"/>
    <w:rsid w:val="00C22B70"/>
    <w:rsid w:val="00C23AB6"/>
    <w:rsid w:val="00C25132"/>
    <w:rsid w:val="00C25F50"/>
    <w:rsid w:val="00C306D2"/>
    <w:rsid w:val="00C33B8A"/>
    <w:rsid w:val="00C35CF6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161C"/>
    <w:rsid w:val="00C676C6"/>
    <w:rsid w:val="00C67F30"/>
    <w:rsid w:val="00C73A04"/>
    <w:rsid w:val="00C73C43"/>
    <w:rsid w:val="00C77A82"/>
    <w:rsid w:val="00C940D6"/>
    <w:rsid w:val="00C95E66"/>
    <w:rsid w:val="00C973E6"/>
    <w:rsid w:val="00CA18E8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2A8B"/>
    <w:rsid w:val="00CE62A6"/>
    <w:rsid w:val="00CE7829"/>
    <w:rsid w:val="00CF0131"/>
    <w:rsid w:val="00CF31AD"/>
    <w:rsid w:val="00CF44E1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442"/>
    <w:rsid w:val="00D24743"/>
    <w:rsid w:val="00D314F3"/>
    <w:rsid w:val="00D3156C"/>
    <w:rsid w:val="00D32075"/>
    <w:rsid w:val="00D41312"/>
    <w:rsid w:val="00D4491A"/>
    <w:rsid w:val="00D458FE"/>
    <w:rsid w:val="00D5292C"/>
    <w:rsid w:val="00D52C07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1EC5"/>
    <w:rsid w:val="00EE42C8"/>
    <w:rsid w:val="00EE680A"/>
    <w:rsid w:val="00EE7ADF"/>
    <w:rsid w:val="00EF2A65"/>
    <w:rsid w:val="00EF6E5E"/>
    <w:rsid w:val="00F054EE"/>
    <w:rsid w:val="00F07024"/>
    <w:rsid w:val="00F14EE6"/>
    <w:rsid w:val="00F163E7"/>
    <w:rsid w:val="00F20800"/>
    <w:rsid w:val="00F25521"/>
    <w:rsid w:val="00F27C65"/>
    <w:rsid w:val="00F418E2"/>
    <w:rsid w:val="00F45030"/>
    <w:rsid w:val="00F457F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505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50572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Zafani</cp:lastModifiedBy>
  <cp:revision>2</cp:revision>
  <cp:lastPrinted>2021-07-30T11:45:00Z</cp:lastPrinted>
  <dcterms:created xsi:type="dcterms:W3CDTF">2025-11-05T17:32:00Z</dcterms:created>
  <dcterms:modified xsi:type="dcterms:W3CDTF">2025-11-05T17:32:00Z</dcterms:modified>
</cp:coreProperties>
</file>