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6DF0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>
        <w:rPr>
          <w:rFonts w:ascii="Times New Roman" w:hAnsi="Times New Roman"/>
          <w:b/>
          <w:sz w:val="24"/>
          <w:szCs w:val="24"/>
        </w:rPr>
        <w:t>79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24/10/2025</w:t>
      </w:r>
    </w:p>
    <w:p w:rsidR="0027406C" w:rsidP="0027406C" w14:paraId="6998B26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  <w:r>
        <w:rPr>
          <w:rFonts w:ascii="Times New Roman" w:hAnsi="Times New Roman"/>
          <w:b/>
          <w:sz w:val="24"/>
          <w:szCs w:val="24"/>
        </w:rPr>
        <w:t>10780/2025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24062A">
        <w:rPr>
          <w:rFonts w:ascii="Times New Roman" w:hAnsi="Times New Roman"/>
          <w:bCs/>
          <w:iCs/>
        </w:rPr>
        <w:t>Dispõe sobre a utilização de semirreboques por motocicletas e motonetas, define características, estabelece critérios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52658" w:rsidRPr="00A649BB" w:rsidP="00F52658" w14:paraId="77B1A89A" w14:textId="40EB1C03">
      <w:pPr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A649BB">
        <w:rPr>
          <w:rFonts w:ascii="Times New Roman" w:hAnsi="Times New Roman"/>
          <w:color w:val="FF0000"/>
          <w:sz w:val="20"/>
          <w:szCs w:val="20"/>
        </w:rPr>
        <w:t>art. 33, § 2º, LC 325/23: O projeto de lei não conterá preâmbulo.</w:t>
      </w: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P="0024062A" w14:paraId="759E05F7" w14:textId="2373A9E1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7611">
        <w:rPr>
          <w:rFonts w:ascii="Times New Roman" w:hAnsi="Times New Roman"/>
          <w:bCs/>
          <w:sz w:val="24"/>
          <w:szCs w:val="24"/>
        </w:rPr>
        <w:t>Art</w:t>
      </w:r>
      <w:r w:rsidRPr="00FA7611" w:rsidR="00A649BB">
        <w:rPr>
          <w:rFonts w:ascii="Times New Roman" w:hAnsi="Times New Roman"/>
          <w:bCs/>
          <w:sz w:val="24"/>
          <w:szCs w:val="24"/>
        </w:rPr>
        <w:t>.</w:t>
      </w:r>
      <w:r w:rsidRPr="00FA7611">
        <w:rPr>
          <w:rFonts w:ascii="Times New Roman" w:hAnsi="Times New Roman"/>
          <w:bCs/>
          <w:sz w:val="24"/>
          <w:szCs w:val="24"/>
        </w:rPr>
        <w:t xml:space="preserve"> 1º</w:t>
      </w:r>
      <w:r w:rsidR="00A649BB">
        <w:rPr>
          <w:rFonts w:ascii="Times New Roman" w:hAnsi="Times New Roman"/>
          <w:b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Objeto da lei + âmbito de aplicação (art. 7° e incisos da LC 95/98: O primeiro artigo do texto indicará o objeto da lei e o respectivo âmbito de aplicação, observados os seguintes princípios (...) EXEMPLO: Art. 1º (Lei 14.133/21): Esta Lei estabelece normas gerais de licitação e contratação (objeto) para as Administrações Públicas diretas, autárquicas e fundacionais da União, dos Estados, do Distrito Federal e dos Municípios (âmbito de aplicação)</w:t>
      </w:r>
      <w:r w:rsidR="00FA7611">
        <w:rPr>
          <w:rFonts w:ascii="Times New Roman" w:hAnsi="Times New Roman"/>
          <w:color w:val="FF0000"/>
          <w:sz w:val="20"/>
          <w:szCs w:val="20"/>
        </w:rPr>
        <w:t>.</w:t>
      </w:r>
    </w:p>
    <w:p w:rsidR="0024062A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062A" w:rsidRPr="0024062A" w:rsidP="0024062A" w14:paraId="4D58A7D8" w14:textId="48186CEF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normativa compreende, em síntese, a substância da norma, ou seja, o conteúdo propriamente dito. A parte normativa é dividida em artigos. O artigo desdobra-se em parágrafos ou em incisos; os parágrafos, em incisos; os incisos, em alíneas; as alíneas, em itens.  Havendo dúvidas quanto à utilização de parágrafos ou incisos, a LC 95/95 dispõe: art. 11, III - para a obtenção de ordem lógica: c) expressar por meio dos parágrafos os aspectos complementares à norma enunciada no caput do artigo e as exceções à regra por este estabelecida; d) promover as discriminações e enumerações por meio dos incisos, alíneas e itens. OBS: não há limite de artigos integrantes da parte normativa, </w:t>
      </w:r>
      <w:r w:rsidRPr="004E0E3B" w:rsidR="005D6D18">
        <w:rPr>
          <w:rFonts w:ascii="Times New Roman" w:hAnsi="Times New Roman"/>
          <w:color w:val="FF0000"/>
          <w:sz w:val="20"/>
          <w:szCs w:val="20"/>
        </w:rPr>
        <w:t>observados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os aspectos de clareza, precisão e ordem lógica.</w:t>
      </w:r>
    </w:p>
    <w:p w:rsidR="00F52658" w:rsidP="0024062A" w14:paraId="4A57D5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658" w:rsidP="0024062A" w14:paraId="5E222190" w14:textId="1B441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A7611">
        <w:rPr>
          <w:rFonts w:ascii="Times New Roman" w:hAnsi="Times New Roman"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os artigos serão indicados pela abreviatura "Art.", seguida de um espaço em branco e acompanhada das seguintes numerações: a) ordinal até o nono, separada do texto por um espaço em branco, sem traços ou outros sinais; e b) cardinal, acompanhada de ponto, a partir do décimo, separada do texto por um espaço em branco, sem traços ou outros sinais; II - o texto do artigo iniciar-se-á com caractere maiúsculo e terminará com: a) ponto final; ou b) dois pontos, nos casos em que se desdobrar em incisos;</w:t>
      </w:r>
    </w:p>
    <w:p w:rsidR="00FA7611" w:rsidP="0024062A" w14:paraId="299EB3A5" w14:textId="45DBDD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611">
        <w:rPr>
          <w:rFonts w:ascii="Times New Roman" w:hAnsi="Times New Roman"/>
          <w:color w:val="FF0000"/>
          <w:sz w:val="20"/>
          <w:szCs w:val="20"/>
        </w:rPr>
        <w:t>Parágrafo</w:t>
      </w:r>
      <w:r>
        <w:rPr>
          <w:rFonts w:ascii="Times New Roman" w:hAnsi="Times New Roman"/>
          <w:sz w:val="24"/>
          <w:szCs w:val="24"/>
        </w:rPr>
        <w:t xml:space="preserve"> § 1° (...)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parágrafo único ou dos parágrafos iniciar-se-á com caractere maiúsculo e terminará com ponto final ou, nos casos em que se desdobrar em incisos, com dois pontos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 w:rsidR="00FA7611" w:rsidP="0024062A" w14:paraId="7503986E" w14:textId="4F8CC39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Inciso 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FA7611">
        <w:rPr>
          <w:rFonts w:ascii="Times New Roman" w:hAnsi="Times New Roman"/>
          <w:color w:val="FF0000"/>
          <w:sz w:val="20"/>
          <w:szCs w:val="20"/>
        </w:rPr>
        <w:t>os incisos serão indicados por algarismos romanos seguidos de hífen, o qual será separado do algarismo e do texto por um espaço em branc</w:t>
      </w:r>
      <w:r>
        <w:rPr>
          <w:rFonts w:ascii="Times New Roman" w:hAnsi="Times New Roman"/>
          <w:color w:val="FF0000"/>
          <w:sz w:val="20"/>
          <w:szCs w:val="20"/>
        </w:rPr>
        <w:t xml:space="preserve">o;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inciso iniciar-se-á com caractere minúsculo, salvo quando se tratar de nome próprio, e terminará com: a) ponto e vírgula; b) dois pontos, quando se desdobrar em alíneas; ou c) ponto final, caso seja o último;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FA7611" w:rsidP="0024062A" w14:paraId="64E79977" w14:textId="3C910319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Alínea </w:t>
      </w:r>
      <w:r>
        <w:rPr>
          <w:rFonts w:ascii="Times New Roman" w:hAnsi="Times New Roman"/>
          <w:sz w:val="24"/>
          <w:szCs w:val="24"/>
        </w:rPr>
        <w:t xml:space="preserve">a) </w:t>
      </w:r>
      <w:r w:rsidRPr="00FA7611">
        <w:rPr>
          <w:rFonts w:ascii="Times New Roman" w:hAnsi="Times New Roman"/>
          <w:color w:val="FF0000"/>
          <w:sz w:val="20"/>
          <w:szCs w:val="20"/>
        </w:rPr>
        <w:t>as alíneas serão indicadas com caractere minúsculo, seguindo o alfabeto, e acompanhadas de parêntese, separado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da alínea iniciar-se-á com caractere minúsculo, salvo quando se tratar de nome próprio, e terminará com: a) ponto e vírgula; b) dois pontos, quando se desdobrar em itens; ou c) ponto final, caso seja a última e anteceda artigo ou parágrafo;</w:t>
      </w:r>
    </w:p>
    <w:p w:rsidR="005D6D18" w:rsidP="0024062A" w14:paraId="6C21179E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A7611" w:rsidRPr="00FA7611" w:rsidP="005D6D18" w14:paraId="71D150D4" w14:textId="0A0BDAFC">
      <w:pPr>
        <w:spacing w:line="240" w:lineRule="auto"/>
        <w:ind w:firstLine="141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Item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A7611">
        <w:rPr>
          <w:rFonts w:ascii="Times New Roman" w:hAnsi="Times New Roman"/>
          <w:color w:val="FF0000"/>
          <w:sz w:val="20"/>
          <w:szCs w:val="20"/>
        </w:rPr>
        <w:t>os itens serão indicados por numeração cardinal, seguida de ponto e separada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item iniciar-se-á com caractere minúsculo, salvo quando se tratar de nome próprio, e terminará com: a) ponto e vírgula; ou b) ponto final, caso seja o último e anteceda artigo ou parágrafo;</w:t>
      </w:r>
    </w:p>
    <w:p w:rsidR="005D6D18" w:rsidRPr="004E0E3B" w:rsidP="005D6D18" w14:paraId="4893BB84" w14:textId="31BCA0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final conterá: a) as medidas necessárias à implementação das normas de conteúdo substantivo; b) as disposições transitórias, se for o caso; c) a cláusula de vigência; e d) a cláusula de revogação, quando couber. A cláusula de revogação é a previsão expressa de todas as disposições que serão revogadas com a vigência do novo ato normativo. Não é obrigatório incluir cláusula de revogação, mas, ao fazê-lo, obrigatoriamente </w:t>
      </w:r>
      <w:r w:rsidRPr="004E0E3B" w:rsidR="00BE002D">
        <w:rPr>
          <w:rFonts w:ascii="Times New Roman" w:hAnsi="Times New Roman"/>
          <w:color w:val="FF0000"/>
          <w:sz w:val="20"/>
          <w:szCs w:val="20"/>
        </w:rPr>
        <w:t>será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forma expressa. A revogação genérica (revogam-se as disposições contrárias) é ilegal. A clausula de vigência, disposta em artigo exclusivo, geralmente o último, indica a data na qual a norma começa a vigorar. </w:t>
      </w:r>
      <w:r w:rsidRPr="004E0E3B">
        <w:rPr>
          <w:rFonts w:ascii="Times New Roman" w:hAnsi="Times New Roman"/>
          <w:b/>
          <w:bCs/>
          <w:color w:val="FF0000"/>
          <w:sz w:val="20"/>
          <w:szCs w:val="20"/>
        </w:rPr>
        <w:t>EXEMPLO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disposições da parte final:</w:t>
      </w:r>
    </w:p>
    <w:p w:rsidR="005D6D18" w:rsidP="005D6D18" w14:paraId="159A9510" w14:textId="7777777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D6D18" w:rsidRPr="004E0E3B" w:rsidP="005D6D18" w14:paraId="2E145FD5" w14:textId="6F988FD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Art. 10 </w:t>
      </w:r>
      <w:r w:rsidRPr="004E0E3B">
        <w:rPr>
          <w:rFonts w:ascii="Times New Roman" w:hAnsi="Times New Roman"/>
          <w:color w:val="FF0000"/>
          <w:sz w:val="24"/>
          <w:szCs w:val="24"/>
        </w:rPr>
        <w:t xml:space="preserve">Ficam revogados: </w:t>
      </w:r>
    </w:p>
    <w:p w:rsidR="005D6D18" w:rsidRPr="004E0E3B" w:rsidP="005D6D18" w14:paraId="0E4D436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I - a Lei nº 10.683, de 28 de maio de 2003;</w:t>
      </w:r>
    </w:p>
    <w:p w:rsidR="005D6D18" w:rsidRPr="004E0E3B" w:rsidP="005D6D18" w14:paraId="7E2A35C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 xml:space="preserve">II - os seguintes dispositivos da Lei nº 13.334, de 13 de setembro de 2016: </w:t>
      </w:r>
    </w:p>
    <w:p w:rsidR="005D6D18" w:rsidRPr="004E0E3B" w:rsidP="005D6D18" w14:paraId="54E54B9B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a) incisos II, III e V do caput do art. 8º; e</w:t>
      </w:r>
    </w:p>
    <w:p w:rsidR="005D6D18" w:rsidP="005D6D18" w14:paraId="4ACAFC4A" w14:textId="70BFAA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b) art. 10</w:t>
      </w:r>
      <w:r w:rsidRPr="005D6D18">
        <w:rPr>
          <w:rFonts w:ascii="Times New Roman" w:hAnsi="Times New Roman"/>
          <w:sz w:val="24"/>
          <w:szCs w:val="24"/>
        </w:rPr>
        <w:t xml:space="preserve">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revogação)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5D6D18" w:rsidP="005D6D18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6D18" w:rsidRPr="005D6D18" w:rsidP="005D6D18" w14:paraId="51F65C74" w14:textId="5A0DE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Art. 11 </w:t>
      </w:r>
      <w:r w:rsidRPr="005D6D18">
        <w:rPr>
          <w:rFonts w:ascii="Times New Roman" w:hAnsi="Times New Roman"/>
          <w:sz w:val="24"/>
          <w:szCs w:val="24"/>
        </w:rPr>
        <w:t xml:space="preserve">Esta Lei entra em vigor em </w:t>
      </w:r>
      <w:r w:rsidRPr="005D6D18">
        <w:rPr>
          <w:rFonts w:ascii="Times New Roman" w:hAnsi="Times New Roman"/>
          <w:color w:val="FF0000"/>
          <w:sz w:val="20"/>
          <w:szCs w:val="20"/>
        </w:rPr>
        <w:t>(data por extenso)</w:t>
      </w:r>
      <w:r w:rsidRPr="005D6D18">
        <w:rPr>
          <w:rFonts w:ascii="Times New Roman" w:hAnsi="Times New Roman"/>
          <w:sz w:val="24"/>
          <w:szCs w:val="24"/>
        </w:rPr>
        <w:t xml:space="preserve">; OU Art. 11. Esta Lei entra em vigor na data de sua publicação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vigência)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24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D18" w:rsidP="00F52658" w14:paraId="1C13085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86FB4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EC1137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D45021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4920DCE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EB7112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0B6AF260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738F4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81A9A6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8EE843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D0D0D3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796CF3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32440EA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C6245" w:rsidRPr="007C6245" w:rsidP="007C6245" w14:paraId="6A3C1DD9" w14:textId="197DAD8D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 conteúdo da justificativa consiste em </w:t>
      </w:r>
      <w:r w:rsidRPr="00F87A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explicar a proposta e/ou expor as razões de se editar a norma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A </w:t>
      </w:r>
      <w:r w:rsidRPr="007C624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justificativa acompanha o projeto e deve contemplar os seguintes pontos: I - a exposição circunstanciada dos motivos de mérito que fundamentam a adoção da medida proposta; II - a indicação da respectiva previsão orçamentária, quando for o caso; e III - a transcrição de dispositivo de lei, decreto, regulamento, ato ou contrato a que faça alusão no seu texto. </w:t>
      </w: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24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7701834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31971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464205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9</cp:revision>
  <cp:lastPrinted>2024-02-02T13:14:00Z</cp:lastPrinted>
  <dcterms:created xsi:type="dcterms:W3CDTF">2024-02-02T13:33:00Z</dcterms:created>
  <dcterms:modified xsi:type="dcterms:W3CDTF">2025-01-27T17:12:00Z</dcterms:modified>
</cp:coreProperties>
</file>