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8135/2025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53/2025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20/08/2025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Dispõe sobre a instituição do PPA - Plano Plurianual do Município de Várzea Paulista para os exercícios de 2026 a 2029 e dá outras providências.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20/08/2025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